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DC93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8CC0FC3">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3AFAB55">
            <w:pPr>
              <w:pStyle w:val="18"/>
              <w:framePr w:wrap="notBeside" w:vAnchor="page" w:hAnchor="page" w:x="1372" w:y="568"/>
              <w:tabs>
                <w:tab w:val="clear" w:pos="4153"/>
                <w:tab w:val="clear" w:pos="8306"/>
              </w:tabs>
              <w:spacing w:line="240" w:lineRule="auto"/>
              <w:jc w:val="both"/>
              <w:rPr>
                <w:rFonts w:ascii="黑体" w:hAnsi="黑体" w:eastAsia="黑体"/>
                <w:sz w:val="21"/>
                <w:szCs w:val="21"/>
              </w:rPr>
            </w:pPr>
            <w:bookmarkStart w:id="70" w:name="_GoBack"/>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 xml:space="preserve"> </w:t>
            </w:r>
            <w:r>
              <w:rPr>
                <w:rFonts w:ascii="黑体" w:hAnsi="黑体" w:eastAsia="黑体"/>
                <w:sz w:val="21"/>
                <w:szCs w:val="21"/>
              </w:rPr>
              <w:fldChar w:fldCharType="end"/>
            </w:r>
            <w:bookmarkEnd w:id="0"/>
            <w:bookmarkEnd w:id="70"/>
          </w:p>
        </w:tc>
      </w:tr>
      <w:tr w14:paraId="6619F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13D1DC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39BD83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0D434D03">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JCE</w:t>
                  </w:r>
                  <w:r>
                    <w:fldChar w:fldCharType="end"/>
                  </w:r>
                  <w:bookmarkEnd w:id="1"/>
                </w:p>
              </w:tc>
            </w:tr>
          </w:tbl>
          <w:p w14:paraId="37C0C950">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hint="eastAsia" w:ascii="黑体" w:hAnsi="黑体" w:eastAsia="黑体"/>
                <w:sz w:val="21"/>
                <w:szCs w:val="21"/>
              </w:rPr>
              <w:t xml:space="preserve"> </w:t>
            </w:r>
            <w:r>
              <w:rPr>
                <w:rFonts w:ascii="黑体" w:hAnsi="黑体" w:eastAsia="黑体"/>
                <w:sz w:val="21"/>
                <w:szCs w:val="21"/>
              </w:rPr>
              <w:fldChar w:fldCharType="end"/>
            </w:r>
            <w:bookmarkEnd w:id="2"/>
          </w:p>
        </w:tc>
      </w:tr>
    </w:tbl>
    <w:p w14:paraId="1BBEA2AC">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江西绿色生态品牌建设促进会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6E63747D">
      <w:pPr>
        <w:pStyle w:val="195"/>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JCE</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3FDCFE3A">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CCBF768">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22162D2">
      <w:pPr>
        <w:pStyle w:val="50"/>
        <w:framePr w:w="9639" w:h="6976" w:hRule="exact" w:hSpace="0" w:vSpace="0" w:wrap="around" w:hAnchor="page" w:y="6408"/>
        <w:jc w:val="center"/>
        <w:rPr>
          <w:rFonts w:ascii="黑体" w:hAnsi="黑体" w:eastAsia="黑体"/>
          <w:b w:val="0"/>
          <w:bCs w:val="0"/>
          <w:w w:val="100"/>
        </w:rPr>
      </w:pPr>
    </w:p>
    <w:p w14:paraId="2D298A83">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江西绿色生态 山苏</w:t>
      </w:r>
      <w:r>
        <w:fldChar w:fldCharType="end"/>
      </w:r>
      <w:bookmarkEnd w:id="9"/>
    </w:p>
    <w:p w14:paraId="3900CE12">
      <w:pPr>
        <w:framePr w:w="9639" w:h="6974" w:hRule="exact" w:wrap="around" w:vAnchor="page" w:hAnchor="page" w:x="1419" w:y="6408" w:anchorLock="1"/>
        <w:ind w:left="-1418"/>
      </w:pPr>
    </w:p>
    <w:p w14:paraId="2FFE186C">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Jiangxi Green Ecology -- </w:t>
      </w:r>
      <w:r>
        <w:rPr>
          <w:rFonts w:hint="eastAsia" w:eastAsia="黑体"/>
          <w:szCs w:val="28"/>
        </w:rPr>
        <w:t>Bird's-nest fern</w:t>
      </w:r>
      <w:r>
        <w:rPr>
          <w:rFonts w:eastAsia="黑体"/>
          <w:szCs w:val="28"/>
        </w:rPr>
        <w:t xml:space="preserve"> </w:t>
      </w:r>
      <w:r>
        <w:rPr>
          <w:rFonts w:eastAsia="黑体"/>
          <w:szCs w:val="28"/>
        </w:rPr>
        <w:fldChar w:fldCharType="end"/>
      </w:r>
      <w:bookmarkEnd w:id="10"/>
    </w:p>
    <w:p w14:paraId="73B32072">
      <w:pPr>
        <w:framePr w:w="9639" w:h="6974" w:hRule="exact" w:wrap="around" w:vAnchor="page" w:hAnchor="page" w:x="1419" w:y="6408" w:anchorLock="1"/>
        <w:spacing w:line="760" w:lineRule="exact"/>
        <w:ind w:left="-1418"/>
      </w:pPr>
    </w:p>
    <w:p w14:paraId="405C9F86">
      <w:pPr>
        <w:pStyle w:val="125"/>
        <w:framePr w:w="9639" w:h="6974" w:hRule="exact" w:wrap="around" w:vAnchor="page" w:hAnchor="page" w:x="1419" w:y="6408" w:anchorLock="1"/>
        <w:textAlignment w:val="bottom"/>
        <w:rPr>
          <w:rFonts w:eastAsia="黑体"/>
          <w:szCs w:val="28"/>
        </w:rPr>
      </w:pPr>
    </w:p>
    <w:p w14:paraId="56E1A605">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E75D95E">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73AD709F">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0A190B6">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5CDF5BA">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0529AEA">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江西绿色生态品牌建设促进会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3B676BA">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6B723D5">
      <w:pPr>
        <w:pStyle w:val="91"/>
        <w:spacing w:after="360"/>
      </w:pPr>
      <w:bookmarkStart w:id="21" w:name="BookMark1"/>
      <w:bookmarkStart w:id="22" w:name="_Toc178236177"/>
      <w:bookmarkStart w:id="23" w:name="_Toc130497265"/>
      <w:r>
        <w:rPr>
          <w:rFonts w:hint="eastAsia"/>
          <w:spacing w:val="320"/>
        </w:rPr>
        <w:t>目</w:t>
      </w:r>
      <w:r>
        <w:rPr>
          <w:rFonts w:hint="eastAsia"/>
        </w:rPr>
        <w:t>次</w:t>
      </w:r>
    </w:p>
    <w:p w14:paraId="6C4227B8">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"_Toc178254543" </w:instrText>
      </w:r>
      <w:r>
        <w:fldChar w:fldCharType="separate"/>
      </w:r>
      <w:r>
        <w:rPr>
          <w:rStyle w:val="32"/>
        </w:rPr>
        <w:t>前言</w:t>
      </w:r>
      <w:r>
        <w:tab/>
      </w:r>
      <w:r>
        <w:fldChar w:fldCharType="begin"/>
      </w:r>
      <w:r>
        <w:instrText xml:space="preserve"> PAGEREF _Toc178254543 \h </w:instrText>
      </w:r>
      <w:r>
        <w:fldChar w:fldCharType="separate"/>
      </w:r>
      <w:r>
        <w:t>II</w:t>
      </w:r>
      <w:r>
        <w:fldChar w:fldCharType="end"/>
      </w:r>
      <w:r>
        <w:fldChar w:fldCharType="end"/>
      </w:r>
    </w:p>
    <w:p w14:paraId="1B1FDDCC">
      <w:pPr>
        <w:pStyle w:val="19"/>
        <w:tabs>
          <w:tab w:val="right" w:leader="dot" w:pos="9344"/>
        </w:tabs>
        <w:rPr>
          <w:rFonts w:asciiTheme="minorHAnsi" w:hAnsiTheme="minorHAnsi" w:eastAsiaTheme="minorEastAsia" w:cstheme="minorBidi"/>
          <w:szCs w:val="22"/>
        </w:rPr>
      </w:pPr>
      <w:r>
        <w:fldChar w:fldCharType="begin"/>
      </w:r>
      <w:r>
        <w:instrText xml:space="preserve"> HYPERLINK \l "_Toc178254544" </w:instrText>
      </w:r>
      <w:r>
        <w:fldChar w:fldCharType="separate"/>
      </w:r>
      <w:r>
        <w:rPr>
          <w:rStyle w:val="32"/>
        </w:rPr>
        <w:t>引言</w:t>
      </w:r>
      <w:r>
        <w:tab/>
      </w:r>
      <w:r>
        <w:fldChar w:fldCharType="begin"/>
      </w:r>
      <w:r>
        <w:instrText xml:space="preserve"> PAGEREF _Toc178254544 \h </w:instrText>
      </w:r>
      <w:r>
        <w:fldChar w:fldCharType="separate"/>
      </w:r>
      <w:r>
        <w:t>III</w:t>
      </w:r>
      <w:r>
        <w:fldChar w:fldCharType="end"/>
      </w:r>
      <w:r>
        <w:fldChar w:fldCharType="end"/>
      </w:r>
    </w:p>
    <w:p w14:paraId="2FB0683A">
      <w:pPr>
        <w:pStyle w:val="19"/>
        <w:tabs>
          <w:tab w:val="right" w:leader="dot" w:pos="9344"/>
        </w:tabs>
        <w:rPr>
          <w:rFonts w:asciiTheme="minorHAnsi" w:hAnsiTheme="minorHAnsi" w:eastAsiaTheme="minorEastAsia" w:cstheme="minorBidi"/>
          <w:szCs w:val="22"/>
        </w:rPr>
      </w:pPr>
      <w:r>
        <w:fldChar w:fldCharType="begin"/>
      </w:r>
      <w:r>
        <w:instrText xml:space="preserve"> HYPERLINK \l "_Toc178254545" </w:instrText>
      </w:r>
      <w:r>
        <w:fldChar w:fldCharType="separate"/>
      </w:r>
      <w:r>
        <w:rPr>
          <w:rStyle w:val="32"/>
        </w:rPr>
        <w:t>1  范围</w:t>
      </w:r>
      <w:r>
        <w:tab/>
      </w:r>
      <w:r>
        <w:fldChar w:fldCharType="begin"/>
      </w:r>
      <w:r>
        <w:instrText xml:space="preserve"> PAGEREF _Toc178254545 \h </w:instrText>
      </w:r>
      <w:r>
        <w:fldChar w:fldCharType="separate"/>
      </w:r>
      <w:r>
        <w:t>1</w:t>
      </w:r>
      <w:r>
        <w:fldChar w:fldCharType="end"/>
      </w:r>
      <w:r>
        <w:fldChar w:fldCharType="end"/>
      </w:r>
    </w:p>
    <w:p w14:paraId="58336CDF">
      <w:pPr>
        <w:pStyle w:val="19"/>
        <w:tabs>
          <w:tab w:val="right" w:leader="dot" w:pos="9344"/>
        </w:tabs>
        <w:rPr>
          <w:rFonts w:asciiTheme="minorHAnsi" w:hAnsiTheme="minorHAnsi" w:eastAsiaTheme="minorEastAsia" w:cstheme="minorBidi"/>
          <w:szCs w:val="22"/>
        </w:rPr>
      </w:pPr>
      <w:r>
        <w:fldChar w:fldCharType="begin"/>
      </w:r>
      <w:r>
        <w:instrText xml:space="preserve"> HYPERLINK \l "_Toc178254546" </w:instrText>
      </w:r>
      <w:r>
        <w:fldChar w:fldCharType="separate"/>
      </w:r>
      <w:r>
        <w:rPr>
          <w:rStyle w:val="32"/>
        </w:rPr>
        <w:t>2  规范性引用文件</w:t>
      </w:r>
      <w:r>
        <w:tab/>
      </w:r>
      <w:r>
        <w:fldChar w:fldCharType="begin"/>
      </w:r>
      <w:r>
        <w:instrText xml:space="preserve"> PAGEREF _Toc178254546 \h </w:instrText>
      </w:r>
      <w:r>
        <w:fldChar w:fldCharType="separate"/>
      </w:r>
      <w:r>
        <w:t>1</w:t>
      </w:r>
      <w:r>
        <w:fldChar w:fldCharType="end"/>
      </w:r>
      <w:r>
        <w:fldChar w:fldCharType="end"/>
      </w:r>
    </w:p>
    <w:p w14:paraId="328C36F2">
      <w:pPr>
        <w:pStyle w:val="19"/>
        <w:tabs>
          <w:tab w:val="right" w:leader="dot" w:pos="9344"/>
        </w:tabs>
        <w:rPr>
          <w:rFonts w:asciiTheme="minorHAnsi" w:hAnsiTheme="minorHAnsi" w:eastAsiaTheme="minorEastAsia" w:cstheme="minorBidi"/>
          <w:szCs w:val="22"/>
        </w:rPr>
      </w:pPr>
      <w:r>
        <w:fldChar w:fldCharType="begin"/>
      </w:r>
      <w:r>
        <w:instrText xml:space="preserve"> HYPERLINK \l "_Toc178254547" </w:instrText>
      </w:r>
      <w:r>
        <w:fldChar w:fldCharType="separate"/>
      </w:r>
      <w:r>
        <w:rPr>
          <w:rStyle w:val="32"/>
        </w:rPr>
        <w:t>3  术语和定义</w:t>
      </w:r>
      <w:r>
        <w:tab/>
      </w:r>
      <w:r>
        <w:fldChar w:fldCharType="begin"/>
      </w:r>
      <w:r>
        <w:instrText xml:space="preserve"> PAGEREF _Toc178254547 \h </w:instrText>
      </w:r>
      <w:r>
        <w:fldChar w:fldCharType="separate"/>
      </w:r>
      <w:r>
        <w:t>1</w:t>
      </w:r>
      <w:r>
        <w:fldChar w:fldCharType="end"/>
      </w:r>
      <w:r>
        <w:fldChar w:fldCharType="end"/>
      </w:r>
    </w:p>
    <w:p w14:paraId="7C398E60">
      <w:pPr>
        <w:pStyle w:val="19"/>
        <w:tabs>
          <w:tab w:val="right" w:leader="dot" w:pos="9344"/>
        </w:tabs>
        <w:rPr>
          <w:rFonts w:asciiTheme="minorHAnsi" w:hAnsiTheme="minorHAnsi" w:eastAsiaTheme="minorEastAsia" w:cstheme="minorBidi"/>
          <w:szCs w:val="22"/>
        </w:rPr>
      </w:pPr>
      <w:r>
        <w:fldChar w:fldCharType="begin"/>
      </w:r>
      <w:r>
        <w:instrText xml:space="preserve"> HYPERLINK \l "_Toc178254548" </w:instrText>
      </w:r>
      <w:r>
        <w:fldChar w:fldCharType="separate"/>
      </w:r>
      <w:r>
        <w:rPr>
          <w:rStyle w:val="32"/>
        </w:rPr>
        <w:t>4  基本要求</w:t>
      </w:r>
      <w:r>
        <w:tab/>
      </w:r>
      <w:r>
        <w:fldChar w:fldCharType="begin"/>
      </w:r>
      <w:r>
        <w:instrText xml:space="preserve"> PAGEREF _Toc178254548 \h </w:instrText>
      </w:r>
      <w:r>
        <w:fldChar w:fldCharType="separate"/>
      </w:r>
      <w:r>
        <w:t>2</w:t>
      </w:r>
      <w:r>
        <w:fldChar w:fldCharType="end"/>
      </w:r>
      <w:r>
        <w:fldChar w:fldCharType="end"/>
      </w:r>
    </w:p>
    <w:p w14:paraId="6841649E">
      <w:pPr>
        <w:pStyle w:val="19"/>
        <w:tabs>
          <w:tab w:val="right" w:leader="dot" w:pos="9344"/>
        </w:tabs>
        <w:rPr>
          <w:rFonts w:asciiTheme="minorHAnsi" w:hAnsiTheme="minorHAnsi" w:eastAsiaTheme="minorEastAsia" w:cstheme="minorBidi"/>
          <w:szCs w:val="22"/>
        </w:rPr>
      </w:pPr>
      <w:r>
        <w:fldChar w:fldCharType="begin"/>
      </w:r>
      <w:r>
        <w:instrText xml:space="preserve"> HYPERLINK \l "_Toc178254549" </w:instrText>
      </w:r>
      <w:r>
        <w:fldChar w:fldCharType="separate"/>
      </w:r>
      <w:r>
        <w:rPr>
          <w:rStyle w:val="32"/>
        </w:rPr>
        <w:t>5  评价指标</w:t>
      </w:r>
      <w:r>
        <w:tab/>
      </w:r>
      <w:r>
        <w:fldChar w:fldCharType="begin"/>
      </w:r>
      <w:r>
        <w:instrText xml:space="preserve"> PAGEREF _Toc178254549 \h </w:instrText>
      </w:r>
      <w:r>
        <w:fldChar w:fldCharType="separate"/>
      </w:r>
      <w:r>
        <w:t>2</w:t>
      </w:r>
      <w:r>
        <w:fldChar w:fldCharType="end"/>
      </w:r>
      <w:r>
        <w:fldChar w:fldCharType="end"/>
      </w:r>
    </w:p>
    <w:p w14:paraId="48872397">
      <w:pPr>
        <w:pStyle w:val="91"/>
        <w:spacing w:after="36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530D211A">
      <w:pPr>
        <w:pStyle w:val="89"/>
        <w:spacing w:before="900" w:after="360"/>
      </w:pPr>
      <w:bookmarkStart w:id="24" w:name="_Toc178254543"/>
      <w:bookmarkStart w:id="25" w:name="BookMark2"/>
      <w:r>
        <w:rPr>
          <w:spacing w:val="320"/>
        </w:rPr>
        <w:t>前</w:t>
      </w:r>
      <w:r>
        <w:t>言</w:t>
      </w:r>
      <w:bookmarkEnd w:id="22"/>
      <w:bookmarkEnd w:id="23"/>
      <w:bookmarkEnd w:id="24"/>
    </w:p>
    <w:p w14:paraId="1D37183F">
      <w:pPr>
        <w:pStyle w:val="56"/>
        <w:ind w:firstLine="420"/>
      </w:pPr>
      <w:r>
        <w:rPr>
          <w:rFonts w:hint="eastAsia"/>
        </w:rPr>
        <w:t>本文件按照GB/T 1.1—2020《标准化工作导则  第1部分：标准化文件的结构和起草规则》的规定起草。</w:t>
      </w:r>
    </w:p>
    <w:p w14:paraId="07E93F25">
      <w:pPr>
        <w:pStyle w:val="56"/>
        <w:ind w:firstLine="420"/>
      </w:pPr>
      <w:r>
        <w:rPr>
          <w:rFonts w:hint="eastAsia"/>
        </w:rPr>
        <w:t>请注意本文件的某些内容可能涉及专利。本文件的发布机构不承担识别专利的责任。</w:t>
      </w:r>
    </w:p>
    <w:p w14:paraId="5992D0B2">
      <w:pPr>
        <w:pStyle w:val="56"/>
        <w:ind w:firstLine="420"/>
      </w:pPr>
      <w:r>
        <w:rPr>
          <w:rFonts w:hint="eastAsia"/>
        </w:rPr>
        <w:t>本文件由江西绿色生态品牌建设促进会提出并归口。</w:t>
      </w:r>
    </w:p>
    <w:p w14:paraId="2C58D65A">
      <w:pPr>
        <w:pStyle w:val="56"/>
        <w:ind w:firstLine="420"/>
      </w:pPr>
      <w:r>
        <w:rPr>
          <w:rFonts w:hint="eastAsia"/>
        </w:rPr>
        <w:t>本文件起草单位：龙南县宏耘农业发展有限责任公司、龙南县德强生态农业发展有限公司、龙南市宏泰蔬菜专业合作社、江西华中标准化事务所、</w:t>
      </w:r>
      <w:r>
        <w:t>江西</w:t>
      </w:r>
      <w:r>
        <w:rPr>
          <w:rFonts w:hint="eastAsia"/>
        </w:rPr>
        <w:t>华中检验</w:t>
      </w:r>
      <w:r>
        <w:t>检测</w:t>
      </w:r>
      <w:r>
        <w:rPr>
          <w:rFonts w:hint="eastAsia"/>
        </w:rPr>
        <w:t>科技</w:t>
      </w:r>
      <w:r>
        <w:t>有限公司</w:t>
      </w:r>
      <w:r>
        <w:rPr>
          <w:rFonts w:hint="eastAsia"/>
        </w:rPr>
        <w:t>。</w:t>
      </w:r>
    </w:p>
    <w:p w14:paraId="7CC1EB35">
      <w:pPr>
        <w:pStyle w:val="56"/>
        <w:ind w:firstLine="420"/>
        <w:sectPr>
          <w:pgSz w:w="11906" w:h="16838"/>
          <w:pgMar w:top="1928" w:right="1134" w:bottom="1134" w:left="1134" w:header="1418" w:footer="1134" w:gutter="284"/>
          <w:pgNumType w:fmt="upperRoman"/>
          <w:cols w:space="425" w:num="1"/>
          <w:formProt w:val="0"/>
          <w:docGrid w:linePitch="312" w:charSpace="0"/>
        </w:sectPr>
      </w:pPr>
      <w:r>
        <w:rPr>
          <w:rFonts w:hint="eastAsia"/>
        </w:rPr>
        <w:t>本文件主要起草人：何贵东、徐青春、</w:t>
      </w:r>
      <w:r>
        <w:t>林容、蔡璐萍</w:t>
      </w:r>
      <w:r>
        <w:rPr>
          <w:rFonts w:hint="eastAsia"/>
        </w:rPr>
        <w:t>、唐雨、肖如熙。</w:t>
      </w:r>
    </w:p>
    <w:bookmarkEnd w:id="25"/>
    <w:p w14:paraId="3881B8DA">
      <w:pPr>
        <w:pStyle w:val="89"/>
        <w:spacing w:after="360"/>
      </w:pPr>
      <w:bookmarkStart w:id="26" w:name="_Toc178254544"/>
      <w:bookmarkStart w:id="27" w:name="_Toc178236178"/>
      <w:bookmarkStart w:id="28" w:name="_Toc130497266"/>
      <w:bookmarkStart w:id="29" w:name="BookMark3"/>
      <w:r>
        <w:rPr>
          <w:spacing w:val="320"/>
        </w:rPr>
        <w:t>引</w:t>
      </w:r>
      <w:r>
        <w:t>言</w:t>
      </w:r>
      <w:bookmarkEnd w:id="26"/>
      <w:bookmarkEnd w:id="27"/>
      <w:bookmarkEnd w:id="28"/>
    </w:p>
    <w:p w14:paraId="710069E4">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“江西绿色生态 </w:t>
      </w:r>
      <w:r>
        <w:rPr>
          <w:rFonts w:hint="eastAsia"/>
          <w:color w:val="000000" w:themeColor="text1"/>
          <w:lang w:eastAsia="zh-CN"/>
          <w14:textFill>
            <w14:solidFill>
              <w14:schemeClr w14:val="tx1"/>
            </w14:solidFill>
          </w14:textFill>
        </w:rPr>
        <w:t>山苏</w:t>
      </w:r>
      <w:r>
        <w:rPr>
          <w:rFonts w:hint="eastAsia"/>
          <w:color w:val="000000" w:themeColor="text1"/>
          <w14:textFill>
            <w14:solidFill>
              <w14:schemeClr w14:val="tx1"/>
            </w14:solidFill>
          </w14:textFill>
        </w:rPr>
        <w:t>”指标水平说明：</w:t>
      </w:r>
    </w:p>
    <w:p w14:paraId="4E7B87D1">
      <w:pPr>
        <w:pStyle w:val="132"/>
        <w:sectPr>
          <w:pgSz w:w="11906" w:h="16838"/>
          <w:pgMar w:top="1928" w:right="1134" w:bottom="1134" w:left="1134" w:header="1418" w:footer="1134" w:gutter="284"/>
          <w:pgNumType w:fmt="upperRoman"/>
          <w:cols w:space="425" w:num="1"/>
          <w:formProt w:val="0"/>
          <w:docGrid w:linePitch="312" w:charSpace="0"/>
        </w:sectPr>
      </w:pPr>
      <w:r>
        <w:rPr>
          <w:rFonts w:hint="eastAsia"/>
        </w:rPr>
        <w:t>理化指标：增加粗蛋白指标</w:t>
      </w:r>
      <w:r>
        <w:rPr>
          <w:rFonts w:hint="eastAsia" w:hAnsi="宋体" w:cs="宋体"/>
        </w:rPr>
        <w:t>≥</w:t>
      </w:r>
      <w:r>
        <w:rPr>
          <w:rFonts w:hint="eastAsia"/>
        </w:rPr>
        <w:t>3.2mg/100g。</w:t>
      </w:r>
    </w:p>
    <w:bookmarkEnd w:id="29"/>
    <w:p w14:paraId="1F50D082">
      <w:pPr>
        <w:spacing w:line="20" w:lineRule="exact"/>
        <w:jc w:val="center"/>
        <w:rPr>
          <w:rFonts w:ascii="黑体" w:hAnsi="黑体" w:eastAsia="黑体"/>
          <w:sz w:val="32"/>
          <w:szCs w:val="32"/>
        </w:rPr>
      </w:pPr>
      <w:bookmarkStart w:id="30" w:name="BookMark4"/>
    </w:p>
    <w:p w14:paraId="071A2A06">
      <w:pPr>
        <w:spacing w:line="20" w:lineRule="exact"/>
        <w:jc w:val="center"/>
        <w:rPr>
          <w:rFonts w:ascii="黑体" w:hAnsi="黑体" w:eastAsia="黑体"/>
          <w:sz w:val="32"/>
          <w:szCs w:val="32"/>
        </w:rPr>
      </w:pPr>
    </w:p>
    <w:sdt>
      <w:sdtPr>
        <w:tag w:val="NEW_STAND_NAME"/>
        <w:id w:val="595910757"/>
        <w:lock w:val="sdtLocked"/>
        <w:placeholder>
          <w:docPart w:val="9C7A3C8934FF4614B8FDE9C0B0D4B899"/>
        </w:placeholder>
      </w:sdtPr>
      <w:sdtContent>
        <w:p w14:paraId="451E8B7E">
          <w:pPr>
            <w:pStyle w:val="177"/>
            <w:spacing w:before="2" w:beforeLines="1" w:after="528" w:afterLines="220"/>
          </w:pPr>
          <w:bookmarkStart w:id="31" w:name="NEW_STAND_NAME"/>
          <w:r>
            <w:rPr>
              <w:rFonts w:hint="eastAsia"/>
            </w:rPr>
            <w:t>江西绿色生态</w:t>
          </w:r>
          <w:r>
            <w:t xml:space="preserve"> </w:t>
          </w:r>
          <w:r>
            <w:rPr>
              <w:rFonts w:hint="eastAsia"/>
              <w:lang w:eastAsia="zh-CN"/>
            </w:rPr>
            <w:t>山苏</w:t>
          </w:r>
        </w:p>
      </w:sdtContent>
    </w:sdt>
    <w:bookmarkEnd w:id="31"/>
    <w:p w14:paraId="26141519">
      <w:pPr>
        <w:pStyle w:val="104"/>
        <w:spacing w:before="240" w:after="240"/>
      </w:pPr>
      <w:bookmarkStart w:id="32" w:name="_Toc178236179"/>
      <w:bookmarkStart w:id="33" w:name="_Toc24884211"/>
      <w:bookmarkStart w:id="34" w:name="_Toc17233333"/>
      <w:bookmarkStart w:id="35" w:name="_Toc17233325"/>
      <w:bookmarkStart w:id="36" w:name="_Toc178254545"/>
      <w:bookmarkStart w:id="37" w:name="_Toc26986530"/>
      <w:bookmarkStart w:id="38" w:name="_Toc26986771"/>
      <w:bookmarkStart w:id="39" w:name="_Toc24884218"/>
      <w:bookmarkStart w:id="40" w:name="_Toc26718930"/>
      <w:bookmarkStart w:id="41" w:name="_Toc130497267"/>
      <w:bookmarkStart w:id="42" w:name="_Toc26648465"/>
      <w:bookmarkStart w:id="43" w:name="_Toc97192964"/>
      <w:r>
        <w:rPr>
          <w:rFonts w:hint="eastAsia"/>
        </w:rPr>
        <w:t>范围</w:t>
      </w:r>
      <w:bookmarkEnd w:id="32"/>
      <w:bookmarkEnd w:id="33"/>
      <w:bookmarkEnd w:id="34"/>
      <w:bookmarkEnd w:id="35"/>
      <w:bookmarkEnd w:id="36"/>
      <w:bookmarkEnd w:id="37"/>
      <w:bookmarkEnd w:id="38"/>
      <w:bookmarkEnd w:id="39"/>
      <w:bookmarkEnd w:id="40"/>
      <w:bookmarkEnd w:id="41"/>
      <w:bookmarkEnd w:id="42"/>
      <w:bookmarkEnd w:id="43"/>
    </w:p>
    <w:p w14:paraId="65A38EC6">
      <w:pPr>
        <w:pStyle w:val="56"/>
        <w:ind w:firstLine="420"/>
      </w:pPr>
      <w:bookmarkStart w:id="44" w:name="_Toc24884212"/>
      <w:bookmarkStart w:id="45" w:name="_Toc17233326"/>
      <w:bookmarkStart w:id="46" w:name="_Toc26648466"/>
      <w:bookmarkStart w:id="47" w:name="_Toc17233334"/>
      <w:bookmarkStart w:id="48" w:name="_Toc24884219"/>
      <w:r>
        <w:rPr>
          <w:rFonts w:hint="eastAsia"/>
        </w:rPr>
        <w:t>本文件提出了江西绿色生态</w:t>
      </w:r>
      <w:r>
        <w:rPr>
          <w:rFonts w:hint="eastAsia"/>
          <w:lang w:eastAsia="zh-CN"/>
        </w:rPr>
        <w:t>山苏</w:t>
      </w:r>
      <w:r>
        <w:rPr>
          <w:rFonts w:hint="eastAsia"/>
        </w:rPr>
        <w:t>的基本要求、评价指标。</w:t>
      </w:r>
    </w:p>
    <w:p w14:paraId="0BC5CE38">
      <w:pPr>
        <w:pStyle w:val="56"/>
        <w:ind w:firstLine="420"/>
      </w:pPr>
      <w:r>
        <w:rPr>
          <w:rFonts w:hint="eastAsia"/>
        </w:rPr>
        <w:t>本文件适用于</w:t>
      </w:r>
      <w:r>
        <w:rPr>
          <w:rFonts w:hint="eastAsia"/>
          <w:lang w:eastAsia="zh-CN"/>
        </w:rPr>
        <w:t>山苏</w:t>
      </w:r>
      <w:r>
        <w:rPr>
          <w:rFonts w:hint="eastAsia"/>
        </w:rPr>
        <w:t>申请“江西绿色生态”认证评价活动。</w:t>
      </w:r>
    </w:p>
    <w:p w14:paraId="6EAAF930">
      <w:pPr>
        <w:pStyle w:val="104"/>
        <w:spacing w:before="240" w:after="240"/>
      </w:pPr>
      <w:bookmarkStart w:id="49" w:name="_Toc178236180"/>
      <w:bookmarkStart w:id="50" w:name="_Toc97192965"/>
      <w:bookmarkStart w:id="51" w:name="_Toc26986772"/>
      <w:bookmarkStart w:id="52" w:name="_Toc26986531"/>
      <w:bookmarkStart w:id="53" w:name="_Toc178254546"/>
      <w:bookmarkStart w:id="54" w:name="_Toc130497268"/>
      <w:bookmarkStart w:id="55" w:name="_Toc26718931"/>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7F48E6C3783E4E82AD98FDCE7C5A1BC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1EFEAD4">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FC23805">
      <w:pPr>
        <w:pStyle w:val="56"/>
        <w:ind w:firstLine="420"/>
      </w:pPr>
      <w:bookmarkStart w:id="56" w:name="OLE_LINK1"/>
      <w:bookmarkStart w:id="57" w:name="_Toc130497269"/>
      <w:bookmarkStart w:id="58" w:name="_Toc97192966"/>
      <w:r>
        <w:rPr>
          <w:rFonts w:hint="eastAsia"/>
        </w:rPr>
        <w:t>GB/T 191 包装储运图示标志</w:t>
      </w:r>
    </w:p>
    <w:p w14:paraId="31449620">
      <w:pPr>
        <w:pStyle w:val="56"/>
        <w:ind w:firstLine="420"/>
      </w:pPr>
      <w:r>
        <w:rPr>
          <w:rFonts w:hint="eastAsia"/>
        </w:rPr>
        <w:t>GB 2762 食品安全国家标准 食品中污染物限量</w:t>
      </w:r>
    </w:p>
    <w:p w14:paraId="057F5FC6">
      <w:pPr>
        <w:pStyle w:val="56"/>
        <w:ind w:firstLine="420"/>
      </w:pPr>
      <w:r>
        <w:rPr>
          <w:rFonts w:hint="eastAsia"/>
        </w:rPr>
        <w:t>GB 2763 食品安全国家标准 食品中农药最大残留限量</w:t>
      </w:r>
    </w:p>
    <w:p w14:paraId="5F007CF0">
      <w:pPr>
        <w:pStyle w:val="56"/>
        <w:ind w:firstLine="420"/>
      </w:pPr>
      <w:r>
        <w:rPr>
          <w:rFonts w:hint="eastAsia"/>
        </w:rPr>
        <w:t>GB 4806.1 食品安全国家标准 食品接触材料及制品通用安全要求</w:t>
      </w:r>
    </w:p>
    <w:p w14:paraId="6F6BBC26">
      <w:pPr>
        <w:pStyle w:val="56"/>
        <w:ind w:firstLine="420"/>
      </w:pPr>
      <w:r>
        <w:rPr>
          <w:rFonts w:hint="eastAsia"/>
        </w:rPr>
        <w:t>GB 4806.7 食品安全国家标准 食品接触用塑料材料及制品</w:t>
      </w:r>
    </w:p>
    <w:p w14:paraId="5B7DC099">
      <w:pPr>
        <w:pStyle w:val="56"/>
        <w:ind w:firstLine="420"/>
      </w:pPr>
      <w:r>
        <w:rPr>
          <w:rFonts w:hint="eastAsia"/>
        </w:rPr>
        <w:t>GB 4806.8 食品安全国家标准 食品接触用纸和纸板材料及制品</w:t>
      </w:r>
    </w:p>
    <w:p w14:paraId="7FC2EA21">
      <w:pPr>
        <w:pStyle w:val="56"/>
        <w:ind w:firstLine="420"/>
      </w:pPr>
      <w:r>
        <w:rPr>
          <w:rFonts w:hint="eastAsia"/>
        </w:rPr>
        <w:t>GB 5009.5 食品安全国家标准 食品中蛋白质的测定</w:t>
      </w:r>
    </w:p>
    <w:p w14:paraId="67C20D4C">
      <w:pPr>
        <w:pStyle w:val="56"/>
        <w:ind w:firstLine="420"/>
      </w:pPr>
      <w:r>
        <w:rPr>
          <w:rFonts w:hint="eastAsia"/>
        </w:rPr>
        <w:t>GB/T 5737 食品塑料周转箱</w:t>
      </w:r>
    </w:p>
    <w:p w14:paraId="02C8164A">
      <w:pPr>
        <w:pStyle w:val="56"/>
        <w:ind w:firstLine="420"/>
      </w:pPr>
      <w:r>
        <w:rPr>
          <w:rFonts w:hint="eastAsia" w:hAnsi="宋体"/>
          <w:szCs w:val="18"/>
        </w:rPr>
        <w:t>GB/T 8321 农药合理使用准则</w:t>
      </w:r>
    </w:p>
    <w:p w14:paraId="7A73A39B">
      <w:pPr>
        <w:pStyle w:val="56"/>
        <w:ind w:firstLine="420"/>
      </w:pPr>
      <w:r>
        <w:rPr>
          <w:rFonts w:hint="eastAsia"/>
        </w:rPr>
        <w:t>GB/T 20014.5 良好农业规范 第5部分：水果和蔬菜控制点与符合性规范</w:t>
      </w:r>
    </w:p>
    <w:p w14:paraId="6D6F944D">
      <w:pPr>
        <w:pStyle w:val="56"/>
        <w:ind w:firstLine="420"/>
        <w:rPr>
          <w:rFonts w:cs="宋体"/>
        </w:rPr>
      </w:pPr>
      <w:r>
        <w:rPr>
          <w:rFonts w:hint="eastAsia" w:cs="宋体"/>
        </w:rPr>
        <w:t>GB 43284  限制商品过度包装要求 生鲜食用农产品</w:t>
      </w:r>
    </w:p>
    <w:p w14:paraId="64D5D9CB">
      <w:pPr>
        <w:pStyle w:val="56"/>
        <w:ind w:firstLine="420"/>
      </w:pPr>
      <w:r>
        <w:rPr>
          <w:rFonts w:hint="eastAsia"/>
        </w:rPr>
        <w:t>GB/T 32950 鲜活农产品标签标识</w:t>
      </w:r>
    </w:p>
    <w:p w14:paraId="40EBD0BE">
      <w:pPr>
        <w:pStyle w:val="56"/>
        <w:ind w:firstLine="420"/>
      </w:pPr>
      <w:r>
        <w:rPr>
          <w:rFonts w:hint="eastAsia"/>
        </w:rPr>
        <w:t>GB/T 33635 绿色制造 制造企业绿色供应链管理 导则</w:t>
      </w:r>
    </w:p>
    <w:p w14:paraId="2C6C8890">
      <w:pPr>
        <w:pStyle w:val="56"/>
        <w:ind w:firstLine="420"/>
      </w:pPr>
      <w:r>
        <w:rPr>
          <w:rFonts w:hint="eastAsia"/>
        </w:rPr>
        <w:t>GB/T 34805 农业社会化服务 农业废弃物综合利用通用要求</w:t>
      </w:r>
    </w:p>
    <w:p w14:paraId="2225AFAC">
      <w:pPr>
        <w:pStyle w:val="56"/>
        <w:ind w:firstLine="420"/>
      </w:pPr>
      <w:r>
        <w:rPr>
          <w:rFonts w:hint="eastAsia"/>
        </w:rPr>
        <w:t>NY/T 391 绿色食品 产地环境质量</w:t>
      </w:r>
    </w:p>
    <w:p w14:paraId="3E7294EA">
      <w:pPr>
        <w:pStyle w:val="56"/>
        <w:ind w:firstLine="420"/>
      </w:pPr>
      <w:r>
        <w:rPr>
          <w:rFonts w:hint="eastAsia"/>
        </w:rPr>
        <w:t>NY/T 393 绿色食品 农药使用准则</w:t>
      </w:r>
    </w:p>
    <w:p w14:paraId="6DFF34E4">
      <w:pPr>
        <w:pStyle w:val="56"/>
        <w:ind w:firstLine="420"/>
      </w:pPr>
      <w:r>
        <w:rPr>
          <w:rFonts w:hint="eastAsia"/>
        </w:rPr>
        <w:t>NY/T 394 绿色食品 肥料使用准则</w:t>
      </w:r>
    </w:p>
    <w:p w14:paraId="2C7200EB">
      <w:pPr>
        <w:pStyle w:val="56"/>
        <w:ind w:firstLine="420"/>
      </w:pPr>
      <w:r>
        <w:rPr>
          <w:rFonts w:hint="eastAsia"/>
        </w:rPr>
        <w:t>NY/T 496 肥料合理使用准则 通则</w:t>
      </w:r>
    </w:p>
    <w:p w14:paraId="3F9AD476">
      <w:pPr>
        <w:pStyle w:val="56"/>
        <w:ind w:firstLine="420"/>
      </w:pPr>
      <w:r>
        <w:rPr>
          <w:rFonts w:hint="eastAsia"/>
        </w:rPr>
        <w:t>NY/T 658 绿色食品 包装通用准则</w:t>
      </w:r>
    </w:p>
    <w:p w14:paraId="2A61FDEA">
      <w:pPr>
        <w:pStyle w:val="56"/>
        <w:ind w:firstLine="420"/>
      </w:pPr>
      <w:r>
        <w:rPr>
          <w:rFonts w:hint="eastAsia"/>
        </w:rPr>
        <w:t>NY/T 1056 绿色食品 贮藏运输准则</w:t>
      </w:r>
    </w:p>
    <w:p w14:paraId="0FC342E9">
      <w:pPr>
        <w:pStyle w:val="56"/>
        <w:ind w:firstLine="420"/>
      </w:pPr>
      <w:r>
        <w:rPr>
          <w:rFonts w:hint="eastAsia"/>
        </w:rPr>
        <w:t>NY/T 1326 绿色食品 多年生蔬菜</w:t>
      </w:r>
    </w:p>
    <w:p w14:paraId="0C428577">
      <w:pPr>
        <w:pStyle w:val="56"/>
        <w:ind w:firstLine="420"/>
      </w:pPr>
      <w:r>
        <w:rPr>
          <w:rFonts w:hint="eastAsia"/>
        </w:rPr>
        <w:t>NY/T 3570 多年生蔬菜贮藏保鲜技术规程</w:t>
      </w:r>
    </w:p>
    <w:p w14:paraId="4F85B21A">
      <w:pPr>
        <w:pStyle w:val="56"/>
        <w:ind w:firstLine="420"/>
      </w:pPr>
      <w:r>
        <w:rPr>
          <w:rFonts w:hint="eastAsia"/>
        </w:rPr>
        <w:t>NY/T 3821.2 农业面源污染综合防控技术规范 第 2 部分：丘陵山区</w:t>
      </w:r>
    </w:p>
    <w:p w14:paraId="788BDF5C">
      <w:pPr>
        <w:pStyle w:val="56"/>
        <w:ind w:firstLine="420"/>
      </w:pPr>
      <w:r>
        <w:rPr>
          <w:rFonts w:hint="eastAsia"/>
        </w:rPr>
        <w:t>DB36/T 1138 “江西绿色生态”品牌评价通用要求</w:t>
      </w:r>
    </w:p>
    <w:bookmarkEnd w:id="56"/>
    <w:p w14:paraId="6F5030A8">
      <w:pPr>
        <w:pStyle w:val="104"/>
        <w:spacing w:before="240" w:after="240"/>
      </w:pPr>
      <w:bookmarkStart w:id="59" w:name="_Toc178236181"/>
      <w:bookmarkStart w:id="60" w:name="_Toc178254547"/>
      <w:r>
        <w:rPr>
          <w:rFonts w:hint="eastAsia"/>
          <w:szCs w:val="21"/>
        </w:rPr>
        <w:t>术语和定义</w:t>
      </w:r>
      <w:bookmarkEnd w:id="57"/>
      <w:bookmarkEnd w:id="58"/>
      <w:bookmarkEnd w:id="59"/>
      <w:bookmarkEnd w:id="60"/>
    </w:p>
    <w:p w14:paraId="3436DDF6">
      <w:pPr>
        <w:pStyle w:val="56"/>
        <w:ind w:firstLine="416"/>
      </w:pPr>
      <w:r>
        <w:rPr>
          <w:rFonts w:hAnsi="宋体" w:cs="宋体"/>
          <w:spacing w:val="-1"/>
          <w:szCs w:val="21"/>
        </w:rPr>
        <w:t>DB36/T 1138</w:t>
      </w:r>
      <w:sdt>
        <w:sdtPr>
          <w:id w:val="-1909835108"/>
          <w:placeholder>
            <w:docPart w:val="55F15F151005453EB6B19FEBD0B08BE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bookmarkStart w:id="61" w:name="_Toc26986532"/>
          <w:bookmarkEnd w:id="61"/>
          <w:r>
            <w:t>界定的以及下列术语和定义适用于本文件。</w:t>
          </w:r>
        </w:sdtContent>
      </w:sdt>
    </w:p>
    <w:p w14:paraId="4A544FC1">
      <w:pPr>
        <w:pStyle w:val="223"/>
      </w:pPr>
      <w:r>
        <w:br w:type="textWrapping"/>
      </w:r>
      <w:r>
        <w:t xml:space="preserve">   </w:t>
      </w:r>
      <w:r>
        <w:rPr>
          <w:rFonts w:hint="eastAsia" w:ascii="黑体" w:hAnsi="黑体" w:eastAsia="黑体"/>
          <w:lang w:eastAsia="zh-CN"/>
        </w:rPr>
        <w:t>山苏</w:t>
      </w:r>
      <w:r>
        <w:rPr>
          <w:rFonts w:hint="eastAsia" w:eastAsia="黑体"/>
          <w:b/>
          <w:bCs/>
          <w:szCs w:val="28"/>
        </w:rPr>
        <w:t>bird's-nest fern</w:t>
      </w:r>
    </w:p>
    <w:p w14:paraId="4346A043">
      <w:pPr>
        <w:pStyle w:val="56"/>
        <w:ind w:firstLine="420"/>
      </w:pPr>
      <w:r>
        <w:rPr>
          <w:rFonts w:hint="eastAsia"/>
        </w:rPr>
        <w:t>一种原产于台湾地区的蕨类植物，它的叶片向上斜举，紧密排成鸟巢状，所以又名鸟巢蕨。</w:t>
      </w:r>
    </w:p>
    <w:p w14:paraId="1D3B5EAC">
      <w:pPr>
        <w:pStyle w:val="223"/>
        <w:rPr>
          <w:rFonts w:ascii="黑体" w:hAnsi="黑体" w:eastAsia="黑体"/>
        </w:rPr>
      </w:pPr>
      <w:r>
        <w:rPr>
          <w:rFonts w:ascii="黑体" w:hAnsi="黑体" w:eastAsia="黑体"/>
        </w:rPr>
        <w:br w:type="textWrapping"/>
      </w:r>
      <w:r>
        <w:rPr>
          <w:rFonts w:ascii="黑体" w:hAnsi="黑体" w:eastAsia="黑体"/>
        </w:rPr>
        <w:t xml:space="preserve">   </w:t>
      </w:r>
      <w:r>
        <w:rPr>
          <w:rFonts w:hint="eastAsia" w:ascii="黑体" w:hAnsi="黑体" w:eastAsia="黑体"/>
        </w:rPr>
        <w:t xml:space="preserve">江西绿色生态 </w:t>
      </w:r>
      <w:r>
        <w:rPr>
          <w:rFonts w:hint="eastAsia" w:ascii="黑体" w:hAnsi="黑体" w:eastAsia="黑体"/>
          <w:lang w:eastAsia="zh-CN"/>
        </w:rPr>
        <w:t>山苏</w:t>
      </w:r>
      <w:r>
        <w:rPr>
          <w:rFonts w:hint="eastAsia" w:ascii="黑体" w:hAnsi="黑体" w:eastAsia="黑体"/>
        </w:rPr>
        <w:t>jiangxi green ecology</w:t>
      </w:r>
      <w:r>
        <w:rPr>
          <w:rFonts w:ascii="黑体" w:hAnsi="黑体" w:eastAsia="黑体"/>
        </w:rPr>
        <w:t>—</w:t>
      </w:r>
      <w:r>
        <w:rPr>
          <w:rFonts w:hint="eastAsia" w:ascii="黑体" w:hAnsi="黑体" w:eastAsia="黑体"/>
        </w:rPr>
        <w:t>bird's-nest fern</w:t>
      </w:r>
    </w:p>
    <w:p w14:paraId="15F39B73">
      <w:pPr>
        <w:pStyle w:val="56"/>
        <w:ind w:firstLine="420"/>
      </w:pPr>
      <w:r>
        <w:rPr>
          <w:rFonts w:hint="eastAsia"/>
        </w:rPr>
        <w:t>符合“江西绿色生态”品牌评价通用要求及本文件技术要求，并通过“江西绿色生态”品牌评价的</w:t>
      </w:r>
      <w:r>
        <w:rPr>
          <w:rFonts w:hint="eastAsia"/>
          <w:lang w:eastAsia="zh-CN"/>
        </w:rPr>
        <w:t>山苏</w:t>
      </w:r>
      <w:r>
        <w:rPr>
          <w:rFonts w:hint="eastAsia"/>
        </w:rPr>
        <w:t>。</w:t>
      </w:r>
    </w:p>
    <w:p w14:paraId="118EEF1E">
      <w:pPr>
        <w:pStyle w:val="104"/>
        <w:spacing w:before="240" w:after="240"/>
      </w:pPr>
      <w:bookmarkStart w:id="62" w:name="_Toc178254548"/>
      <w:bookmarkStart w:id="63" w:name="_Toc178236182"/>
      <w:r>
        <w:rPr>
          <w:rFonts w:hint="eastAsia"/>
        </w:rPr>
        <w:t>基本</w:t>
      </w:r>
      <w:r>
        <w:t>要求</w:t>
      </w:r>
      <w:bookmarkEnd w:id="62"/>
      <w:bookmarkEnd w:id="63"/>
    </w:p>
    <w:p w14:paraId="191846ED">
      <w:pPr>
        <w:pStyle w:val="162"/>
      </w:pPr>
      <w:r>
        <w:rPr>
          <w:rFonts w:hint="eastAsia"/>
        </w:rPr>
        <w:t>产地环境质量应符合NY/T 391的要求。</w:t>
      </w:r>
    </w:p>
    <w:p w14:paraId="0D64E12B">
      <w:pPr>
        <w:pStyle w:val="162"/>
      </w:pPr>
      <w:r>
        <w:rPr>
          <w:rFonts w:hint="eastAsia"/>
        </w:rPr>
        <w:t>生产经营主体应按照绿色食品或GB/T 20014.5的规定进行生产管理。</w:t>
      </w:r>
    </w:p>
    <w:p w14:paraId="1FFA50FF">
      <w:pPr>
        <w:pStyle w:val="162"/>
      </w:pPr>
      <w:r>
        <w:rPr>
          <w:rFonts w:hint="eastAsia"/>
        </w:rPr>
        <w:t>包装应符合NY/T 658</w:t>
      </w:r>
      <w:r>
        <w:rPr>
          <w:rFonts w:hint="eastAsia" w:hAnsi="宋体"/>
          <w:szCs w:val="18"/>
        </w:rPr>
        <w:t>和GB 43284</w:t>
      </w:r>
      <w:r>
        <w:rPr>
          <w:rFonts w:hint="eastAsia"/>
        </w:rPr>
        <w:t>的要求；包装材料应分别符合</w:t>
      </w:r>
      <w:bookmarkStart w:id="64" w:name="_Hlk111486485"/>
      <w:bookmarkStart w:id="65" w:name="_Hlk111488105"/>
      <w:r>
        <w:rPr>
          <w:rFonts w:hint="eastAsia"/>
        </w:rPr>
        <w:t>GB/T 5737、GB 4806.1、GB 4806.7</w:t>
      </w:r>
      <w:bookmarkEnd w:id="64"/>
      <w:r>
        <w:rPr>
          <w:rFonts w:hint="eastAsia"/>
        </w:rPr>
        <w:t>、GB 4806.8</w:t>
      </w:r>
      <w:bookmarkEnd w:id="65"/>
      <w:r>
        <w:rPr>
          <w:rFonts w:hint="eastAsia"/>
        </w:rPr>
        <w:t>的规定。</w:t>
      </w:r>
    </w:p>
    <w:p w14:paraId="75464CF9">
      <w:pPr>
        <w:pStyle w:val="162"/>
      </w:pPr>
      <w:r>
        <w:rPr>
          <w:rFonts w:hint="eastAsia"/>
        </w:rPr>
        <w:t>包装储运图示标志应符合</w:t>
      </w:r>
      <w:bookmarkStart w:id="66" w:name="_Hlk103848491"/>
      <w:r>
        <w:rPr>
          <w:rFonts w:hint="eastAsia"/>
        </w:rPr>
        <w:t>GB/T 191</w:t>
      </w:r>
      <w:bookmarkEnd w:id="66"/>
      <w:r>
        <w:rPr>
          <w:rFonts w:hint="eastAsia"/>
        </w:rPr>
        <w:t>的规定；产品标签应符合GB/T 32950的要求。</w:t>
      </w:r>
    </w:p>
    <w:p w14:paraId="391EF8CD">
      <w:pPr>
        <w:pStyle w:val="162"/>
      </w:pPr>
      <w:r>
        <w:rPr>
          <w:rFonts w:hint="eastAsia"/>
        </w:rPr>
        <w:t>运输和贮藏过程应符合NY/T 1056及NY/T 3570的要求。全程冷链，严禁与其他有毒有害物质混存、混运。</w:t>
      </w:r>
    </w:p>
    <w:p w14:paraId="50F43BA1">
      <w:pPr>
        <w:pStyle w:val="104"/>
        <w:spacing w:before="240" w:after="240"/>
      </w:pPr>
      <w:bookmarkStart w:id="67" w:name="_Toc178254549"/>
      <w:bookmarkStart w:id="68" w:name="_Toc178236183"/>
      <w:r>
        <w:t>评价指标</w:t>
      </w:r>
      <w:bookmarkEnd w:id="67"/>
      <w:bookmarkEnd w:id="68"/>
    </w:p>
    <w:p w14:paraId="2FEE6695">
      <w:pPr>
        <w:pStyle w:val="162"/>
      </w:pPr>
      <w:r>
        <w:rPr>
          <w:rFonts w:hint="eastAsia"/>
        </w:rPr>
        <w:t xml:space="preserve">对符合本文件第4章基本要求的山苏，认证机构应依据表1的要求开展“江西绿色生态 </w:t>
      </w:r>
      <w:r>
        <w:rPr>
          <w:rFonts w:hint="eastAsia"/>
          <w:lang w:eastAsia="zh-CN"/>
        </w:rPr>
        <w:t>山苏</w:t>
      </w:r>
      <w:r>
        <w:rPr>
          <w:rFonts w:hint="eastAsia"/>
        </w:rPr>
        <w:t>”评价和认证。</w:t>
      </w:r>
    </w:p>
    <w:p w14:paraId="65112C07">
      <w:pPr>
        <w:pStyle w:val="112"/>
        <w:spacing w:before="120" w:after="120"/>
      </w:pPr>
      <w:r>
        <w:rPr>
          <w:rFonts w:hint="eastAsia"/>
        </w:rPr>
        <w:t xml:space="preserve">“江西绿色生态 </w:t>
      </w:r>
      <w:r>
        <w:rPr>
          <w:rFonts w:hint="eastAsia"/>
          <w:lang w:eastAsia="zh-CN"/>
        </w:rPr>
        <w:t>山苏</w:t>
      </w:r>
      <w:r>
        <w:rPr>
          <w:rFonts w:hint="eastAsia"/>
        </w:rPr>
        <w:t>”评价指标</w:t>
      </w:r>
    </w:p>
    <w:tbl>
      <w:tblPr>
        <w:tblStyle w:val="27"/>
        <w:tblW w:w="9414"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
      <w:tblGrid>
        <w:gridCol w:w="577"/>
        <w:gridCol w:w="1017"/>
        <w:gridCol w:w="928"/>
        <w:gridCol w:w="1852"/>
        <w:gridCol w:w="2744"/>
        <w:gridCol w:w="2296"/>
      </w:tblGrid>
      <w:tr w14:paraId="511FA8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blHeader/>
        </w:trPr>
        <w:tc>
          <w:tcPr>
            <w:tcW w:w="577" w:type="dxa"/>
            <w:tcBorders>
              <w:top w:val="single" w:color="auto" w:sz="8" w:space="0"/>
              <w:bottom w:val="single" w:color="auto" w:sz="8" w:space="0"/>
            </w:tcBorders>
            <w:shd w:val="clear" w:color="auto" w:fill="auto"/>
            <w:vAlign w:val="center"/>
          </w:tcPr>
          <w:p w14:paraId="4537831C">
            <w:pPr>
              <w:pStyle w:val="178"/>
              <w:spacing w:line="240" w:lineRule="atLeast"/>
              <w:rPr>
                <w:rFonts w:hAnsi="宋体"/>
                <w:szCs w:val="18"/>
              </w:rPr>
            </w:pPr>
            <w:r>
              <w:rPr>
                <w:rFonts w:hAnsi="宋体"/>
                <w:szCs w:val="18"/>
              </w:rPr>
              <w:t>序号</w:t>
            </w:r>
          </w:p>
        </w:tc>
        <w:tc>
          <w:tcPr>
            <w:tcW w:w="1017" w:type="dxa"/>
            <w:tcBorders>
              <w:top w:val="single" w:color="auto" w:sz="8" w:space="0"/>
              <w:bottom w:val="single" w:color="auto" w:sz="8" w:space="0"/>
            </w:tcBorders>
            <w:shd w:val="clear" w:color="auto" w:fill="auto"/>
            <w:vAlign w:val="center"/>
          </w:tcPr>
          <w:p w14:paraId="4C65F06B">
            <w:pPr>
              <w:pStyle w:val="178"/>
              <w:spacing w:line="240" w:lineRule="atLeast"/>
              <w:rPr>
                <w:rFonts w:hAnsi="宋体"/>
                <w:szCs w:val="18"/>
              </w:rPr>
            </w:pPr>
            <w:r>
              <w:rPr>
                <w:rFonts w:hAnsi="宋体"/>
                <w:szCs w:val="18"/>
              </w:rPr>
              <w:t>一级指标</w:t>
            </w:r>
          </w:p>
        </w:tc>
        <w:tc>
          <w:tcPr>
            <w:tcW w:w="5524" w:type="dxa"/>
            <w:gridSpan w:val="3"/>
            <w:tcBorders>
              <w:top w:val="single" w:color="auto" w:sz="8" w:space="0"/>
              <w:bottom w:val="single" w:color="auto" w:sz="8" w:space="0"/>
            </w:tcBorders>
            <w:shd w:val="clear" w:color="auto" w:fill="auto"/>
            <w:vAlign w:val="center"/>
          </w:tcPr>
          <w:p w14:paraId="6E349607">
            <w:pPr>
              <w:pStyle w:val="178"/>
              <w:spacing w:line="240" w:lineRule="atLeast"/>
              <w:rPr>
                <w:rFonts w:hAnsi="宋体"/>
                <w:szCs w:val="18"/>
              </w:rPr>
            </w:pPr>
            <w:r>
              <w:rPr>
                <w:rFonts w:hAnsi="宋体"/>
                <w:szCs w:val="18"/>
              </w:rPr>
              <w:t>二级指标</w:t>
            </w:r>
          </w:p>
        </w:tc>
        <w:tc>
          <w:tcPr>
            <w:tcW w:w="2296" w:type="dxa"/>
            <w:tcBorders>
              <w:top w:val="single" w:color="auto" w:sz="8" w:space="0"/>
              <w:bottom w:val="single" w:color="auto" w:sz="8" w:space="0"/>
            </w:tcBorders>
            <w:shd w:val="clear" w:color="auto" w:fill="auto"/>
          </w:tcPr>
          <w:p w14:paraId="09E998D0">
            <w:pPr>
              <w:pStyle w:val="178"/>
              <w:spacing w:line="240" w:lineRule="atLeast"/>
              <w:rPr>
                <w:rFonts w:hAnsi="宋体"/>
                <w:szCs w:val="18"/>
              </w:rPr>
            </w:pPr>
            <w:r>
              <w:rPr>
                <w:rFonts w:hAnsi="宋体"/>
                <w:szCs w:val="18"/>
              </w:rPr>
              <w:t>评价方法</w:t>
            </w:r>
          </w:p>
        </w:tc>
      </w:tr>
      <w:tr w14:paraId="298DB6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c>
          <w:tcPr>
            <w:tcW w:w="577" w:type="dxa"/>
            <w:tcBorders>
              <w:top w:val="single" w:color="auto" w:sz="8" w:space="0"/>
            </w:tcBorders>
            <w:shd w:val="clear" w:color="auto" w:fill="auto"/>
            <w:vAlign w:val="center"/>
          </w:tcPr>
          <w:p w14:paraId="274C40D4">
            <w:pPr>
              <w:pStyle w:val="178"/>
              <w:spacing w:line="240" w:lineRule="atLeast"/>
              <w:rPr>
                <w:rFonts w:hAnsi="宋体"/>
                <w:szCs w:val="18"/>
              </w:rPr>
            </w:pPr>
            <w:r>
              <w:rPr>
                <w:rFonts w:hint="eastAsia" w:hAnsi="宋体"/>
                <w:szCs w:val="18"/>
              </w:rPr>
              <w:t>1</w:t>
            </w:r>
          </w:p>
        </w:tc>
        <w:tc>
          <w:tcPr>
            <w:tcW w:w="1017" w:type="dxa"/>
            <w:vMerge w:val="restart"/>
            <w:tcBorders>
              <w:top w:val="single" w:color="auto" w:sz="8" w:space="0"/>
            </w:tcBorders>
            <w:shd w:val="clear" w:color="auto" w:fill="auto"/>
            <w:vAlign w:val="center"/>
          </w:tcPr>
          <w:p w14:paraId="7E549A49">
            <w:pPr>
              <w:pStyle w:val="178"/>
              <w:spacing w:line="240" w:lineRule="atLeast"/>
              <w:rPr>
                <w:rFonts w:hAnsi="宋体"/>
                <w:szCs w:val="18"/>
              </w:rPr>
            </w:pPr>
            <w:r>
              <w:rPr>
                <w:rFonts w:hAnsi="宋体"/>
                <w:szCs w:val="18"/>
              </w:rPr>
              <w:t>资源节约</w:t>
            </w:r>
          </w:p>
        </w:tc>
        <w:tc>
          <w:tcPr>
            <w:tcW w:w="5524" w:type="dxa"/>
            <w:gridSpan w:val="3"/>
            <w:tcBorders>
              <w:top w:val="single" w:color="auto" w:sz="8" w:space="0"/>
            </w:tcBorders>
            <w:shd w:val="clear" w:color="auto" w:fill="auto"/>
            <w:vAlign w:val="center"/>
          </w:tcPr>
          <w:p w14:paraId="59E86898">
            <w:pPr>
              <w:pStyle w:val="230"/>
              <w:spacing w:line="240" w:lineRule="atLeast"/>
              <w:jc w:val="center"/>
              <w:rPr>
                <w:rFonts w:ascii="宋体" w:hAnsi="宋体"/>
                <w:sz w:val="18"/>
                <w:szCs w:val="18"/>
              </w:rPr>
            </w:pPr>
            <w:r>
              <w:rPr>
                <w:rFonts w:hint="eastAsia" w:ascii="宋体" w:hAnsi="宋体"/>
                <w:sz w:val="18"/>
                <w:szCs w:val="18"/>
              </w:rPr>
              <w:t>灌溉用水量应符合DB36/T 6</w:t>
            </w:r>
            <w:r>
              <w:rPr>
                <w:rFonts w:hint="eastAsia" w:ascii="宋体" w:hAnsi="宋体"/>
                <w:spacing w:val="-1"/>
                <w:sz w:val="18"/>
                <w:szCs w:val="18"/>
              </w:rPr>
              <w:t>19要求，鼓励采用水肥一体化等设施，节省人工，节水</w:t>
            </w:r>
            <w:r>
              <w:rPr>
                <w:rFonts w:hint="eastAsia" w:ascii="宋体" w:hAnsi="宋体"/>
                <w:spacing w:val="-4"/>
                <w:sz w:val="18"/>
                <w:szCs w:val="18"/>
              </w:rPr>
              <w:t>灌溉</w:t>
            </w:r>
          </w:p>
        </w:tc>
        <w:tc>
          <w:tcPr>
            <w:tcW w:w="2296" w:type="dxa"/>
            <w:vMerge w:val="restart"/>
            <w:tcBorders>
              <w:top w:val="single" w:color="auto" w:sz="8" w:space="0"/>
            </w:tcBorders>
            <w:shd w:val="clear" w:color="auto" w:fill="auto"/>
            <w:vAlign w:val="center"/>
          </w:tcPr>
          <w:p w14:paraId="7E439ED6">
            <w:pPr>
              <w:pStyle w:val="178"/>
              <w:spacing w:line="240" w:lineRule="atLeast"/>
              <w:rPr>
                <w:rFonts w:hAnsi="宋体"/>
                <w:szCs w:val="18"/>
              </w:rPr>
            </w:pPr>
            <w:r>
              <w:rPr>
                <w:rFonts w:hint="eastAsia" w:hAnsi="宋体"/>
                <w:szCs w:val="18"/>
              </w:rPr>
              <w:t>查看能源计量使用记录、生产管理制度文件、生产记录，采购凭证，实地走访</w:t>
            </w:r>
          </w:p>
        </w:tc>
      </w:tr>
      <w:tr w14:paraId="47C3A4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c>
          <w:tcPr>
            <w:tcW w:w="577" w:type="dxa"/>
            <w:shd w:val="clear" w:color="auto" w:fill="auto"/>
            <w:vAlign w:val="center"/>
          </w:tcPr>
          <w:p w14:paraId="4619253C">
            <w:pPr>
              <w:pStyle w:val="178"/>
              <w:spacing w:line="240" w:lineRule="atLeast"/>
              <w:rPr>
                <w:rFonts w:hAnsi="宋体"/>
                <w:szCs w:val="18"/>
              </w:rPr>
            </w:pPr>
            <w:r>
              <w:rPr>
                <w:rFonts w:hint="eastAsia" w:hAnsi="宋体"/>
                <w:szCs w:val="18"/>
              </w:rPr>
              <w:t>2</w:t>
            </w:r>
          </w:p>
        </w:tc>
        <w:tc>
          <w:tcPr>
            <w:tcW w:w="1017" w:type="dxa"/>
            <w:vMerge w:val="continue"/>
            <w:shd w:val="clear" w:color="auto" w:fill="auto"/>
            <w:vAlign w:val="center"/>
          </w:tcPr>
          <w:p w14:paraId="787DC8FA">
            <w:pPr>
              <w:pStyle w:val="178"/>
              <w:spacing w:line="240" w:lineRule="atLeast"/>
              <w:rPr>
                <w:rFonts w:hAnsi="宋体"/>
                <w:szCs w:val="18"/>
              </w:rPr>
            </w:pPr>
          </w:p>
        </w:tc>
        <w:tc>
          <w:tcPr>
            <w:tcW w:w="5524" w:type="dxa"/>
            <w:gridSpan w:val="3"/>
            <w:shd w:val="clear" w:color="auto" w:fill="auto"/>
            <w:vAlign w:val="center"/>
          </w:tcPr>
          <w:p w14:paraId="4F6DB357">
            <w:pPr>
              <w:pStyle w:val="178"/>
              <w:spacing w:line="240" w:lineRule="atLeast"/>
              <w:rPr>
                <w:rFonts w:hAnsi="宋体"/>
                <w:szCs w:val="18"/>
              </w:rPr>
            </w:pPr>
            <w:r>
              <w:rPr>
                <w:rFonts w:hint="eastAsia" w:hAnsi="宋体"/>
                <w:szCs w:val="18"/>
              </w:rPr>
              <w:t>应按照GB/T 34805 的要求对枯枝落叶等农业废弃物进行循环利用</w:t>
            </w:r>
          </w:p>
        </w:tc>
        <w:tc>
          <w:tcPr>
            <w:tcW w:w="2296" w:type="dxa"/>
            <w:vMerge w:val="continue"/>
            <w:shd w:val="clear" w:color="auto" w:fill="auto"/>
          </w:tcPr>
          <w:p w14:paraId="384253A6">
            <w:pPr>
              <w:pStyle w:val="178"/>
              <w:spacing w:line="240" w:lineRule="atLeast"/>
              <w:rPr>
                <w:rFonts w:hAnsi="宋体"/>
                <w:szCs w:val="18"/>
              </w:rPr>
            </w:pPr>
          </w:p>
        </w:tc>
      </w:tr>
      <w:tr w14:paraId="48E6B4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c>
          <w:tcPr>
            <w:tcW w:w="577" w:type="dxa"/>
            <w:shd w:val="clear" w:color="auto" w:fill="auto"/>
            <w:vAlign w:val="center"/>
          </w:tcPr>
          <w:p w14:paraId="30408A86">
            <w:pPr>
              <w:pStyle w:val="178"/>
              <w:spacing w:line="240" w:lineRule="atLeast"/>
              <w:rPr>
                <w:rFonts w:hAnsi="宋体"/>
                <w:szCs w:val="18"/>
              </w:rPr>
            </w:pPr>
            <w:r>
              <w:rPr>
                <w:rFonts w:hint="eastAsia" w:hAnsi="宋体"/>
                <w:szCs w:val="18"/>
              </w:rPr>
              <w:t>3</w:t>
            </w:r>
          </w:p>
        </w:tc>
        <w:tc>
          <w:tcPr>
            <w:tcW w:w="1017" w:type="dxa"/>
            <w:vMerge w:val="continue"/>
            <w:shd w:val="clear" w:color="auto" w:fill="auto"/>
            <w:vAlign w:val="center"/>
          </w:tcPr>
          <w:p w14:paraId="629362CE">
            <w:pPr>
              <w:pStyle w:val="178"/>
              <w:spacing w:line="240" w:lineRule="atLeast"/>
              <w:rPr>
                <w:rFonts w:hAnsi="宋体"/>
                <w:szCs w:val="18"/>
              </w:rPr>
            </w:pPr>
          </w:p>
        </w:tc>
        <w:tc>
          <w:tcPr>
            <w:tcW w:w="5524" w:type="dxa"/>
            <w:gridSpan w:val="3"/>
            <w:shd w:val="clear" w:color="auto" w:fill="auto"/>
            <w:vAlign w:val="center"/>
          </w:tcPr>
          <w:p w14:paraId="59240D01">
            <w:pPr>
              <w:widowControl/>
              <w:spacing w:line="240" w:lineRule="auto"/>
              <w:jc w:val="left"/>
              <w:rPr>
                <w:rFonts w:hAnsi="宋体"/>
                <w:szCs w:val="18"/>
              </w:rPr>
            </w:pPr>
            <w:r>
              <w:rPr>
                <w:rFonts w:hint="eastAsia" w:ascii="宋体" w:hAnsi="宋体" w:cs="宋体"/>
                <w:color w:val="000000"/>
                <w:kern w:val="0"/>
                <w:sz w:val="18"/>
                <w:szCs w:val="18"/>
                <w:lang w:bidi="ar"/>
              </w:rPr>
              <w:t>化学农药使用量应尽可能少，且尽可能减少人力成本，鼓励采用轻简化管理、机械化技术进行农药或肥料喷施</w:t>
            </w:r>
          </w:p>
        </w:tc>
        <w:tc>
          <w:tcPr>
            <w:tcW w:w="2296" w:type="dxa"/>
            <w:vMerge w:val="continue"/>
            <w:shd w:val="clear" w:color="auto" w:fill="auto"/>
          </w:tcPr>
          <w:p w14:paraId="0721262E">
            <w:pPr>
              <w:pStyle w:val="178"/>
              <w:spacing w:line="240" w:lineRule="atLeast"/>
              <w:rPr>
                <w:rFonts w:hAnsi="宋体"/>
                <w:szCs w:val="18"/>
              </w:rPr>
            </w:pPr>
          </w:p>
        </w:tc>
      </w:tr>
      <w:tr w14:paraId="4AA809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c>
          <w:tcPr>
            <w:tcW w:w="577" w:type="dxa"/>
            <w:shd w:val="clear" w:color="auto" w:fill="auto"/>
            <w:vAlign w:val="center"/>
          </w:tcPr>
          <w:p w14:paraId="54957848">
            <w:pPr>
              <w:pStyle w:val="178"/>
              <w:spacing w:line="240" w:lineRule="atLeast"/>
              <w:rPr>
                <w:rFonts w:hAnsi="宋体"/>
                <w:szCs w:val="18"/>
              </w:rPr>
            </w:pPr>
            <w:r>
              <w:rPr>
                <w:rFonts w:hint="eastAsia" w:hAnsi="宋体"/>
                <w:szCs w:val="18"/>
              </w:rPr>
              <w:t>4</w:t>
            </w:r>
          </w:p>
        </w:tc>
        <w:tc>
          <w:tcPr>
            <w:tcW w:w="1017" w:type="dxa"/>
            <w:vMerge w:val="continue"/>
            <w:shd w:val="clear" w:color="auto" w:fill="auto"/>
            <w:vAlign w:val="center"/>
          </w:tcPr>
          <w:p w14:paraId="362EFBD4">
            <w:pPr>
              <w:pStyle w:val="178"/>
              <w:spacing w:line="240" w:lineRule="atLeast"/>
              <w:rPr>
                <w:rFonts w:hAnsi="宋体"/>
                <w:szCs w:val="18"/>
              </w:rPr>
            </w:pPr>
          </w:p>
        </w:tc>
        <w:tc>
          <w:tcPr>
            <w:tcW w:w="5524" w:type="dxa"/>
            <w:gridSpan w:val="3"/>
            <w:shd w:val="clear" w:color="auto" w:fill="auto"/>
            <w:vAlign w:val="center"/>
          </w:tcPr>
          <w:p w14:paraId="3EBD4F98">
            <w:pPr>
              <w:pStyle w:val="178"/>
              <w:spacing w:line="240" w:lineRule="atLeast"/>
              <w:rPr>
                <w:rFonts w:hAnsi="宋体"/>
                <w:szCs w:val="18"/>
              </w:rPr>
            </w:pPr>
            <w:r>
              <w:rPr>
                <w:rFonts w:hint="eastAsia" w:hAnsi="宋体"/>
                <w:szCs w:val="18"/>
              </w:rPr>
              <w:t>包装应符合NY/T 658 和GB 43284 的要求，包装材料尽量采用可再生利用或可降解材料</w:t>
            </w:r>
          </w:p>
        </w:tc>
        <w:tc>
          <w:tcPr>
            <w:tcW w:w="2296" w:type="dxa"/>
            <w:vMerge w:val="continue"/>
            <w:shd w:val="clear" w:color="auto" w:fill="auto"/>
          </w:tcPr>
          <w:p w14:paraId="58E1CAC7">
            <w:pPr>
              <w:pStyle w:val="178"/>
              <w:spacing w:line="240" w:lineRule="atLeast"/>
              <w:rPr>
                <w:rFonts w:hAnsi="宋体"/>
                <w:szCs w:val="18"/>
              </w:rPr>
            </w:pPr>
          </w:p>
        </w:tc>
      </w:tr>
      <w:tr w14:paraId="24D0C1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c>
          <w:tcPr>
            <w:tcW w:w="577" w:type="dxa"/>
            <w:shd w:val="clear" w:color="auto" w:fill="auto"/>
            <w:vAlign w:val="center"/>
          </w:tcPr>
          <w:p w14:paraId="7CDCA18B">
            <w:pPr>
              <w:pStyle w:val="178"/>
              <w:spacing w:line="240" w:lineRule="atLeast"/>
              <w:rPr>
                <w:rFonts w:hAnsi="宋体"/>
                <w:szCs w:val="18"/>
              </w:rPr>
            </w:pPr>
            <w:r>
              <w:rPr>
                <w:rFonts w:hAnsi="宋体"/>
                <w:szCs w:val="18"/>
              </w:rPr>
              <w:t>5</w:t>
            </w:r>
          </w:p>
        </w:tc>
        <w:tc>
          <w:tcPr>
            <w:tcW w:w="1017" w:type="dxa"/>
            <w:vMerge w:val="restart"/>
            <w:shd w:val="clear" w:color="auto" w:fill="auto"/>
            <w:vAlign w:val="center"/>
          </w:tcPr>
          <w:p w14:paraId="6293C0F2">
            <w:pPr>
              <w:pStyle w:val="178"/>
              <w:spacing w:line="240" w:lineRule="atLeast"/>
              <w:rPr>
                <w:rFonts w:hAnsi="宋体"/>
                <w:szCs w:val="18"/>
              </w:rPr>
            </w:pPr>
            <w:r>
              <w:rPr>
                <w:rFonts w:hAnsi="宋体"/>
                <w:szCs w:val="18"/>
              </w:rPr>
              <w:t>环境保护</w:t>
            </w:r>
          </w:p>
        </w:tc>
        <w:tc>
          <w:tcPr>
            <w:tcW w:w="5524" w:type="dxa"/>
            <w:gridSpan w:val="3"/>
            <w:shd w:val="clear" w:color="auto" w:fill="auto"/>
            <w:vAlign w:val="center"/>
          </w:tcPr>
          <w:p w14:paraId="2BF250FE">
            <w:pPr>
              <w:pStyle w:val="178"/>
              <w:spacing w:line="240" w:lineRule="atLeast"/>
              <w:rPr>
                <w:rFonts w:hAnsi="宋体"/>
                <w:szCs w:val="18"/>
              </w:rPr>
            </w:pPr>
            <w:r>
              <w:rPr>
                <w:rFonts w:hint="eastAsia" w:hAnsi="宋体"/>
                <w:szCs w:val="18"/>
              </w:rPr>
              <w:t>病虫草害按照GB/T 8321的规定执行，鼓励采用绿色防控技术，生物和物理防治结合</w:t>
            </w:r>
          </w:p>
        </w:tc>
        <w:tc>
          <w:tcPr>
            <w:tcW w:w="2296" w:type="dxa"/>
            <w:vMerge w:val="restart"/>
            <w:shd w:val="clear" w:color="auto" w:fill="auto"/>
            <w:vAlign w:val="center"/>
          </w:tcPr>
          <w:p w14:paraId="1351D074">
            <w:pPr>
              <w:pStyle w:val="178"/>
              <w:spacing w:line="240" w:lineRule="atLeast"/>
              <w:rPr>
                <w:rFonts w:hAnsi="宋体"/>
                <w:szCs w:val="18"/>
              </w:rPr>
            </w:pPr>
            <w:r>
              <w:rPr>
                <w:rFonts w:hint="eastAsia" w:hAnsi="宋体"/>
                <w:szCs w:val="18"/>
              </w:rPr>
              <w:t>查看农事活动记录及管理记录</w:t>
            </w:r>
          </w:p>
        </w:tc>
      </w:tr>
      <w:tr w14:paraId="500FF6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c>
          <w:tcPr>
            <w:tcW w:w="577" w:type="dxa"/>
            <w:shd w:val="clear" w:color="auto" w:fill="auto"/>
            <w:vAlign w:val="center"/>
          </w:tcPr>
          <w:p w14:paraId="5200EB2B">
            <w:pPr>
              <w:pStyle w:val="178"/>
              <w:spacing w:line="240" w:lineRule="atLeast"/>
              <w:rPr>
                <w:rFonts w:hAnsi="宋体"/>
                <w:szCs w:val="18"/>
              </w:rPr>
            </w:pPr>
            <w:r>
              <w:rPr>
                <w:rFonts w:hint="eastAsia" w:hAnsi="宋体"/>
                <w:szCs w:val="18"/>
              </w:rPr>
              <w:t>6</w:t>
            </w:r>
          </w:p>
        </w:tc>
        <w:tc>
          <w:tcPr>
            <w:tcW w:w="1017" w:type="dxa"/>
            <w:vMerge w:val="continue"/>
            <w:shd w:val="clear" w:color="auto" w:fill="auto"/>
            <w:vAlign w:val="center"/>
          </w:tcPr>
          <w:p w14:paraId="3048CC23">
            <w:pPr>
              <w:pStyle w:val="178"/>
              <w:spacing w:line="240" w:lineRule="atLeast"/>
              <w:rPr>
                <w:rFonts w:hAnsi="宋体"/>
                <w:szCs w:val="18"/>
              </w:rPr>
            </w:pPr>
          </w:p>
        </w:tc>
        <w:tc>
          <w:tcPr>
            <w:tcW w:w="5524" w:type="dxa"/>
            <w:gridSpan w:val="3"/>
            <w:shd w:val="clear" w:color="auto" w:fill="auto"/>
            <w:vAlign w:val="center"/>
          </w:tcPr>
          <w:p w14:paraId="51590467">
            <w:pPr>
              <w:pStyle w:val="178"/>
              <w:spacing w:line="240" w:lineRule="atLeast"/>
              <w:rPr>
                <w:rFonts w:hAnsi="宋体"/>
                <w:szCs w:val="18"/>
              </w:rPr>
            </w:pPr>
            <w:r>
              <w:rPr>
                <w:rFonts w:hint="eastAsia" w:hAnsi="宋体"/>
                <w:szCs w:val="18"/>
              </w:rPr>
              <w:t>农药的选择和使用符合NY/T 393 规定，选用高效低毒低残留化学药剂，禁止使用农业农村部规定的禁用农药</w:t>
            </w:r>
          </w:p>
        </w:tc>
        <w:tc>
          <w:tcPr>
            <w:tcW w:w="2296" w:type="dxa"/>
            <w:vMerge w:val="continue"/>
            <w:shd w:val="clear" w:color="auto" w:fill="auto"/>
            <w:vAlign w:val="center"/>
          </w:tcPr>
          <w:p w14:paraId="1318A93F">
            <w:pPr>
              <w:pStyle w:val="178"/>
              <w:spacing w:line="240" w:lineRule="atLeast"/>
              <w:rPr>
                <w:rFonts w:hAnsi="宋体"/>
                <w:szCs w:val="18"/>
              </w:rPr>
            </w:pPr>
          </w:p>
        </w:tc>
      </w:tr>
      <w:tr w14:paraId="5F3C52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c>
          <w:tcPr>
            <w:tcW w:w="577" w:type="dxa"/>
            <w:shd w:val="clear" w:color="auto" w:fill="auto"/>
            <w:vAlign w:val="center"/>
          </w:tcPr>
          <w:p w14:paraId="214C41E0">
            <w:pPr>
              <w:pStyle w:val="178"/>
              <w:spacing w:line="240" w:lineRule="atLeast"/>
              <w:rPr>
                <w:rFonts w:hAnsi="宋体"/>
                <w:szCs w:val="18"/>
              </w:rPr>
            </w:pPr>
            <w:r>
              <w:rPr>
                <w:rFonts w:hint="eastAsia" w:hAnsi="宋体"/>
                <w:szCs w:val="18"/>
              </w:rPr>
              <w:t>7</w:t>
            </w:r>
          </w:p>
        </w:tc>
        <w:tc>
          <w:tcPr>
            <w:tcW w:w="1017" w:type="dxa"/>
            <w:vMerge w:val="continue"/>
            <w:shd w:val="clear" w:color="auto" w:fill="auto"/>
            <w:vAlign w:val="center"/>
          </w:tcPr>
          <w:p w14:paraId="58CA420F">
            <w:pPr>
              <w:pStyle w:val="178"/>
              <w:spacing w:line="240" w:lineRule="atLeast"/>
              <w:rPr>
                <w:rFonts w:hAnsi="宋体"/>
                <w:szCs w:val="18"/>
              </w:rPr>
            </w:pPr>
          </w:p>
        </w:tc>
        <w:tc>
          <w:tcPr>
            <w:tcW w:w="5524" w:type="dxa"/>
            <w:gridSpan w:val="3"/>
            <w:shd w:val="clear" w:color="auto" w:fill="auto"/>
            <w:vAlign w:val="center"/>
          </w:tcPr>
          <w:p w14:paraId="460967E6">
            <w:pPr>
              <w:pStyle w:val="178"/>
              <w:spacing w:line="240" w:lineRule="atLeast"/>
              <w:rPr>
                <w:rFonts w:hAnsi="宋体"/>
                <w:szCs w:val="18"/>
              </w:rPr>
            </w:pPr>
            <w:r>
              <w:rPr>
                <w:rFonts w:hint="eastAsia" w:hAnsi="宋体"/>
                <w:szCs w:val="18"/>
              </w:rPr>
              <w:t>肥料使用符合NY/T 394、NY/T 496 规定，提倡使用有机肥，控制化肥施用，平衡施肥。化肥、农药等导致的面源污染应按照NY/T 3821.2的要求进行防控。</w:t>
            </w:r>
          </w:p>
        </w:tc>
        <w:tc>
          <w:tcPr>
            <w:tcW w:w="2296" w:type="dxa"/>
            <w:vMerge w:val="continue"/>
            <w:shd w:val="clear" w:color="auto" w:fill="auto"/>
            <w:vAlign w:val="center"/>
          </w:tcPr>
          <w:p w14:paraId="2CB8FAF0">
            <w:pPr>
              <w:pStyle w:val="178"/>
              <w:spacing w:line="240" w:lineRule="atLeast"/>
              <w:rPr>
                <w:rFonts w:hAnsi="宋体"/>
                <w:szCs w:val="18"/>
              </w:rPr>
            </w:pPr>
          </w:p>
        </w:tc>
      </w:tr>
      <w:tr w14:paraId="5FAB0A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c>
          <w:tcPr>
            <w:tcW w:w="577" w:type="dxa"/>
            <w:shd w:val="clear" w:color="auto" w:fill="auto"/>
            <w:vAlign w:val="center"/>
          </w:tcPr>
          <w:p w14:paraId="5775209D">
            <w:pPr>
              <w:pStyle w:val="178"/>
              <w:spacing w:line="240" w:lineRule="atLeast"/>
              <w:rPr>
                <w:rFonts w:hAnsi="宋体"/>
                <w:szCs w:val="18"/>
              </w:rPr>
            </w:pPr>
            <w:r>
              <w:rPr>
                <w:rFonts w:hint="eastAsia" w:hAnsi="宋体"/>
                <w:szCs w:val="18"/>
              </w:rPr>
              <w:t>8</w:t>
            </w:r>
          </w:p>
        </w:tc>
        <w:tc>
          <w:tcPr>
            <w:tcW w:w="1017" w:type="dxa"/>
            <w:vMerge w:val="continue"/>
            <w:shd w:val="clear" w:color="auto" w:fill="auto"/>
            <w:vAlign w:val="center"/>
          </w:tcPr>
          <w:p w14:paraId="3E57E282">
            <w:pPr>
              <w:pStyle w:val="178"/>
              <w:spacing w:line="240" w:lineRule="atLeast"/>
              <w:rPr>
                <w:rFonts w:hAnsi="宋体"/>
                <w:szCs w:val="18"/>
              </w:rPr>
            </w:pPr>
          </w:p>
        </w:tc>
        <w:tc>
          <w:tcPr>
            <w:tcW w:w="5524" w:type="dxa"/>
            <w:gridSpan w:val="3"/>
            <w:shd w:val="clear" w:color="auto" w:fill="auto"/>
            <w:vAlign w:val="center"/>
          </w:tcPr>
          <w:p w14:paraId="5727D9DD">
            <w:pPr>
              <w:pStyle w:val="178"/>
              <w:spacing w:line="240" w:lineRule="atLeast"/>
              <w:rPr>
                <w:rFonts w:hAnsi="宋体"/>
                <w:szCs w:val="18"/>
              </w:rPr>
            </w:pPr>
            <w:r>
              <w:rPr>
                <w:rFonts w:hint="eastAsia" w:hAnsi="宋体"/>
                <w:szCs w:val="18"/>
              </w:rPr>
              <w:t>田间农药或肥料包装废弃物或垃圾应有专人进行收集、分类和处理</w:t>
            </w:r>
          </w:p>
        </w:tc>
        <w:tc>
          <w:tcPr>
            <w:tcW w:w="2296" w:type="dxa"/>
            <w:vMerge w:val="continue"/>
            <w:shd w:val="clear" w:color="auto" w:fill="auto"/>
            <w:vAlign w:val="center"/>
          </w:tcPr>
          <w:p w14:paraId="426C5319">
            <w:pPr>
              <w:pStyle w:val="178"/>
              <w:spacing w:line="240" w:lineRule="atLeast"/>
              <w:rPr>
                <w:rFonts w:hAnsi="宋体"/>
                <w:szCs w:val="18"/>
              </w:rPr>
            </w:pPr>
          </w:p>
        </w:tc>
      </w:tr>
      <w:tr w14:paraId="7C18E6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c>
          <w:tcPr>
            <w:tcW w:w="577" w:type="dxa"/>
            <w:shd w:val="clear" w:color="auto" w:fill="auto"/>
            <w:vAlign w:val="center"/>
          </w:tcPr>
          <w:p w14:paraId="746FD80A">
            <w:pPr>
              <w:pStyle w:val="178"/>
              <w:spacing w:line="240" w:lineRule="atLeast"/>
              <w:rPr>
                <w:rFonts w:hAnsi="宋体"/>
                <w:szCs w:val="18"/>
              </w:rPr>
            </w:pPr>
            <w:r>
              <w:rPr>
                <w:rFonts w:hint="eastAsia" w:hAnsi="宋体"/>
                <w:szCs w:val="18"/>
              </w:rPr>
              <w:t>9</w:t>
            </w:r>
          </w:p>
        </w:tc>
        <w:tc>
          <w:tcPr>
            <w:tcW w:w="1017" w:type="dxa"/>
            <w:vMerge w:val="restart"/>
            <w:shd w:val="clear" w:color="auto" w:fill="auto"/>
            <w:vAlign w:val="center"/>
          </w:tcPr>
          <w:p w14:paraId="0A7E1161">
            <w:pPr>
              <w:pStyle w:val="178"/>
              <w:spacing w:line="240" w:lineRule="atLeast"/>
              <w:rPr>
                <w:rFonts w:hAnsi="宋体"/>
                <w:szCs w:val="18"/>
              </w:rPr>
            </w:pPr>
            <w:r>
              <w:rPr>
                <w:rFonts w:hAnsi="宋体"/>
                <w:szCs w:val="18"/>
              </w:rPr>
              <w:t>生态协同</w:t>
            </w:r>
          </w:p>
        </w:tc>
        <w:tc>
          <w:tcPr>
            <w:tcW w:w="5524" w:type="dxa"/>
            <w:gridSpan w:val="3"/>
            <w:shd w:val="clear" w:color="auto" w:fill="auto"/>
            <w:vAlign w:val="center"/>
          </w:tcPr>
          <w:p w14:paraId="31AA81F0">
            <w:pPr>
              <w:widowControl/>
              <w:spacing w:line="240" w:lineRule="atLeast"/>
              <w:jc w:val="center"/>
              <w:rPr>
                <w:rFonts w:ascii="宋体" w:hAnsi="宋体"/>
                <w:sz w:val="18"/>
                <w:szCs w:val="18"/>
              </w:rPr>
            </w:pPr>
            <w:r>
              <w:rPr>
                <w:rFonts w:hint="eastAsia" w:ascii="宋体" w:hAnsi="宋体" w:cs="宋体"/>
                <w:color w:val="000000"/>
                <w:kern w:val="0"/>
                <w:sz w:val="18"/>
                <w:szCs w:val="18"/>
                <w:lang w:bidi="ar"/>
              </w:rPr>
              <w:t>保护生物栖息地，保护生物多样性，维持生态平衡</w:t>
            </w:r>
          </w:p>
        </w:tc>
        <w:tc>
          <w:tcPr>
            <w:tcW w:w="2296" w:type="dxa"/>
            <w:vMerge w:val="restart"/>
            <w:shd w:val="clear" w:color="auto" w:fill="auto"/>
            <w:vAlign w:val="center"/>
          </w:tcPr>
          <w:p w14:paraId="6FA68371">
            <w:pPr>
              <w:pStyle w:val="178"/>
              <w:spacing w:line="240" w:lineRule="atLeast"/>
              <w:rPr>
                <w:rFonts w:hAnsi="宋体"/>
                <w:szCs w:val="18"/>
              </w:rPr>
            </w:pPr>
            <w:r>
              <w:rPr>
                <w:rFonts w:hint="eastAsia" w:hAnsi="宋体"/>
                <w:szCs w:val="18"/>
              </w:rPr>
              <w:t>实地察看</w:t>
            </w:r>
          </w:p>
        </w:tc>
      </w:tr>
      <w:tr w14:paraId="434A41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c>
          <w:tcPr>
            <w:tcW w:w="577" w:type="dxa"/>
            <w:shd w:val="clear" w:color="auto" w:fill="auto"/>
            <w:vAlign w:val="center"/>
          </w:tcPr>
          <w:p w14:paraId="1F42593E">
            <w:pPr>
              <w:pStyle w:val="178"/>
              <w:spacing w:line="240" w:lineRule="atLeast"/>
              <w:rPr>
                <w:rFonts w:hAnsi="宋体"/>
                <w:szCs w:val="18"/>
              </w:rPr>
            </w:pPr>
            <w:r>
              <w:rPr>
                <w:rFonts w:hint="eastAsia" w:hAnsi="宋体"/>
                <w:szCs w:val="18"/>
              </w:rPr>
              <w:t>10</w:t>
            </w:r>
          </w:p>
        </w:tc>
        <w:tc>
          <w:tcPr>
            <w:tcW w:w="1017" w:type="dxa"/>
            <w:vMerge w:val="continue"/>
            <w:shd w:val="clear" w:color="auto" w:fill="auto"/>
            <w:vAlign w:val="center"/>
          </w:tcPr>
          <w:p w14:paraId="5185CA4B">
            <w:pPr>
              <w:pStyle w:val="178"/>
              <w:spacing w:line="240" w:lineRule="atLeast"/>
              <w:rPr>
                <w:rFonts w:hAnsi="宋体"/>
                <w:szCs w:val="18"/>
              </w:rPr>
            </w:pPr>
          </w:p>
        </w:tc>
        <w:tc>
          <w:tcPr>
            <w:tcW w:w="5524" w:type="dxa"/>
            <w:gridSpan w:val="3"/>
            <w:shd w:val="clear" w:color="auto" w:fill="auto"/>
            <w:vAlign w:val="center"/>
          </w:tcPr>
          <w:p w14:paraId="14973C5F">
            <w:pPr>
              <w:pStyle w:val="178"/>
              <w:spacing w:line="240" w:lineRule="atLeast"/>
              <w:rPr>
                <w:rFonts w:hAnsi="宋体"/>
                <w:szCs w:val="18"/>
              </w:rPr>
            </w:pPr>
            <w:r>
              <w:rPr>
                <w:rFonts w:hint="eastAsia" w:hAnsi="宋体"/>
                <w:szCs w:val="18"/>
              </w:rPr>
              <w:t>与其他生产区域间设置有效的缓冲带或物理屏障</w:t>
            </w:r>
          </w:p>
        </w:tc>
        <w:tc>
          <w:tcPr>
            <w:tcW w:w="2296" w:type="dxa"/>
            <w:vMerge w:val="continue"/>
            <w:shd w:val="clear" w:color="auto" w:fill="auto"/>
            <w:vAlign w:val="center"/>
          </w:tcPr>
          <w:p w14:paraId="7E27AF2B">
            <w:pPr>
              <w:pStyle w:val="178"/>
              <w:spacing w:line="240" w:lineRule="atLeast"/>
              <w:rPr>
                <w:rFonts w:hAnsi="宋体"/>
                <w:szCs w:val="18"/>
              </w:rPr>
            </w:pPr>
          </w:p>
        </w:tc>
      </w:tr>
      <w:tr w14:paraId="703AD0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c>
          <w:tcPr>
            <w:tcW w:w="577" w:type="dxa"/>
            <w:shd w:val="clear" w:color="auto" w:fill="auto"/>
            <w:vAlign w:val="center"/>
          </w:tcPr>
          <w:p w14:paraId="6F509B26">
            <w:pPr>
              <w:pStyle w:val="178"/>
              <w:spacing w:line="240" w:lineRule="atLeast"/>
              <w:rPr>
                <w:rFonts w:hAnsi="宋体"/>
                <w:szCs w:val="18"/>
              </w:rPr>
            </w:pPr>
            <w:r>
              <w:rPr>
                <w:rFonts w:hint="eastAsia" w:hAnsi="宋体"/>
                <w:szCs w:val="18"/>
              </w:rPr>
              <w:t>11</w:t>
            </w:r>
          </w:p>
        </w:tc>
        <w:tc>
          <w:tcPr>
            <w:tcW w:w="1017" w:type="dxa"/>
            <w:vMerge w:val="continue"/>
            <w:shd w:val="clear" w:color="auto" w:fill="auto"/>
            <w:vAlign w:val="center"/>
          </w:tcPr>
          <w:p w14:paraId="24423284">
            <w:pPr>
              <w:pStyle w:val="178"/>
              <w:spacing w:line="240" w:lineRule="atLeast"/>
              <w:rPr>
                <w:rFonts w:hAnsi="宋体"/>
                <w:szCs w:val="18"/>
              </w:rPr>
            </w:pPr>
          </w:p>
        </w:tc>
        <w:tc>
          <w:tcPr>
            <w:tcW w:w="5524" w:type="dxa"/>
            <w:gridSpan w:val="3"/>
            <w:shd w:val="clear" w:color="auto" w:fill="auto"/>
            <w:vAlign w:val="center"/>
          </w:tcPr>
          <w:p w14:paraId="2FA5C468">
            <w:pPr>
              <w:pStyle w:val="178"/>
              <w:spacing w:line="240" w:lineRule="atLeast"/>
              <w:rPr>
                <w:rFonts w:hAnsi="宋体"/>
                <w:szCs w:val="18"/>
              </w:rPr>
            </w:pPr>
            <w:r>
              <w:rPr>
                <w:rFonts w:hint="eastAsia" w:hAnsi="宋体"/>
                <w:szCs w:val="18"/>
              </w:rPr>
              <w:t>保证基地具有可持续生产能力，不对环境或周边其他生物产生污染</w:t>
            </w:r>
          </w:p>
        </w:tc>
        <w:tc>
          <w:tcPr>
            <w:tcW w:w="2296" w:type="dxa"/>
            <w:vMerge w:val="continue"/>
            <w:shd w:val="clear" w:color="auto" w:fill="auto"/>
            <w:vAlign w:val="center"/>
          </w:tcPr>
          <w:p w14:paraId="20494633">
            <w:pPr>
              <w:pStyle w:val="178"/>
              <w:spacing w:line="240" w:lineRule="atLeast"/>
              <w:rPr>
                <w:rFonts w:hAnsi="宋体"/>
                <w:szCs w:val="18"/>
              </w:rPr>
            </w:pPr>
          </w:p>
        </w:tc>
      </w:tr>
      <w:tr w14:paraId="6F966C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c>
          <w:tcPr>
            <w:tcW w:w="577" w:type="dxa"/>
            <w:shd w:val="clear" w:color="auto" w:fill="auto"/>
            <w:vAlign w:val="center"/>
          </w:tcPr>
          <w:p w14:paraId="6449B41E">
            <w:pPr>
              <w:pStyle w:val="178"/>
              <w:spacing w:line="240" w:lineRule="atLeast"/>
              <w:rPr>
                <w:rFonts w:hAnsi="宋体"/>
                <w:szCs w:val="18"/>
              </w:rPr>
            </w:pPr>
            <w:r>
              <w:rPr>
                <w:rFonts w:hint="eastAsia" w:hAnsi="宋体"/>
                <w:szCs w:val="18"/>
              </w:rPr>
              <w:t>12</w:t>
            </w:r>
          </w:p>
        </w:tc>
        <w:tc>
          <w:tcPr>
            <w:tcW w:w="1017" w:type="dxa"/>
            <w:vMerge w:val="restart"/>
            <w:shd w:val="clear" w:color="auto" w:fill="auto"/>
            <w:vAlign w:val="center"/>
          </w:tcPr>
          <w:p w14:paraId="7FEFACD0">
            <w:pPr>
              <w:pStyle w:val="178"/>
              <w:spacing w:line="240" w:lineRule="atLeast"/>
              <w:rPr>
                <w:rFonts w:hAnsi="宋体"/>
                <w:szCs w:val="18"/>
              </w:rPr>
            </w:pPr>
            <w:r>
              <w:rPr>
                <w:rFonts w:hAnsi="宋体"/>
                <w:szCs w:val="18"/>
              </w:rPr>
              <w:t>质量引领</w:t>
            </w:r>
          </w:p>
        </w:tc>
        <w:tc>
          <w:tcPr>
            <w:tcW w:w="928" w:type="dxa"/>
            <w:vMerge w:val="restart"/>
            <w:shd w:val="clear" w:color="auto" w:fill="auto"/>
            <w:vAlign w:val="center"/>
          </w:tcPr>
          <w:p w14:paraId="23FE5F04">
            <w:pPr>
              <w:pStyle w:val="178"/>
              <w:spacing w:line="240" w:lineRule="atLeast"/>
              <w:rPr>
                <w:rFonts w:hAnsi="宋体"/>
                <w:szCs w:val="18"/>
              </w:rPr>
            </w:pPr>
            <w:r>
              <w:rPr>
                <w:rFonts w:hAnsi="宋体"/>
                <w:szCs w:val="18"/>
              </w:rPr>
              <w:t>感官指标</w:t>
            </w:r>
          </w:p>
        </w:tc>
        <w:tc>
          <w:tcPr>
            <w:tcW w:w="1852" w:type="dxa"/>
            <w:shd w:val="clear" w:color="auto" w:fill="auto"/>
            <w:vAlign w:val="center"/>
          </w:tcPr>
          <w:p w14:paraId="33785915">
            <w:pPr>
              <w:pStyle w:val="178"/>
              <w:spacing w:line="240" w:lineRule="atLeast"/>
              <w:rPr>
                <w:rFonts w:hAnsi="宋体"/>
                <w:szCs w:val="18"/>
              </w:rPr>
            </w:pPr>
            <w:r>
              <w:rPr>
                <w:rFonts w:hint="eastAsia" w:hAnsi="宋体"/>
                <w:szCs w:val="18"/>
              </w:rPr>
              <w:t>外观</w:t>
            </w:r>
          </w:p>
        </w:tc>
        <w:tc>
          <w:tcPr>
            <w:tcW w:w="2744" w:type="dxa"/>
            <w:shd w:val="clear" w:color="auto" w:fill="auto"/>
            <w:vAlign w:val="center"/>
          </w:tcPr>
          <w:p w14:paraId="29E61EDF">
            <w:pPr>
              <w:pStyle w:val="178"/>
              <w:spacing w:line="240" w:lineRule="atLeast"/>
              <w:rPr>
                <w:rFonts w:hAnsi="宋体"/>
                <w:szCs w:val="18"/>
              </w:rPr>
            </w:pPr>
            <w:r>
              <w:rPr>
                <w:rFonts w:hint="eastAsia" w:hAnsi="宋体"/>
                <w:szCs w:val="18"/>
              </w:rPr>
              <w:t>叶片完整带弯钩，色泽良好，无病虫害斑点，无腐烂黑点，切口平整。</w:t>
            </w:r>
          </w:p>
        </w:tc>
        <w:tc>
          <w:tcPr>
            <w:tcW w:w="2296" w:type="dxa"/>
            <w:vMerge w:val="restart"/>
            <w:shd w:val="clear" w:color="auto" w:fill="auto"/>
            <w:vAlign w:val="center"/>
          </w:tcPr>
          <w:p w14:paraId="7787FA24">
            <w:pPr>
              <w:pStyle w:val="178"/>
              <w:spacing w:line="240" w:lineRule="atLeast"/>
              <w:rPr>
                <w:rFonts w:hAnsi="宋体"/>
                <w:color w:val="FF0000"/>
                <w:szCs w:val="18"/>
              </w:rPr>
            </w:pPr>
            <w:r>
              <w:rPr>
                <w:rFonts w:hint="eastAsia" w:hAnsi="宋体"/>
                <w:szCs w:val="18"/>
              </w:rPr>
              <w:t>将约500g平置于白色洁净瓷盘内，目视法观察外观；鼻闻气味；口尝滋味</w:t>
            </w:r>
          </w:p>
        </w:tc>
      </w:tr>
      <w:tr w14:paraId="202DFC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c>
          <w:tcPr>
            <w:tcW w:w="577" w:type="dxa"/>
            <w:shd w:val="clear" w:color="auto" w:fill="auto"/>
            <w:vAlign w:val="center"/>
          </w:tcPr>
          <w:p w14:paraId="13B3752E">
            <w:pPr>
              <w:pStyle w:val="178"/>
              <w:spacing w:line="240" w:lineRule="atLeast"/>
              <w:rPr>
                <w:rFonts w:hAnsi="宋体"/>
                <w:szCs w:val="18"/>
              </w:rPr>
            </w:pPr>
            <w:r>
              <w:rPr>
                <w:rFonts w:hint="eastAsia" w:hAnsi="宋体"/>
                <w:szCs w:val="18"/>
              </w:rPr>
              <w:t>13</w:t>
            </w:r>
          </w:p>
        </w:tc>
        <w:tc>
          <w:tcPr>
            <w:tcW w:w="1017" w:type="dxa"/>
            <w:vMerge w:val="continue"/>
            <w:shd w:val="clear" w:color="auto" w:fill="auto"/>
            <w:vAlign w:val="center"/>
          </w:tcPr>
          <w:p w14:paraId="7132077E">
            <w:pPr>
              <w:pStyle w:val="178"/>
              <w:spacing w:line="240" w:lineRule="atLeast"/>
              <w:rPr>
                <w:rFonts w:hAnsi="宋体"/>
                <w:szCs w:val="18"/>
              </w:rPr>
            </w:pPr>
          </w:p>
        </w:tc>
        <w:tc>
          <w:tcPr>
            <w:tcW w:w="928" w:type="dxa"/>
            <w:vMerge w:val="continue"/>
            <w:shd w:val="clear" w:color="auto" w:fill="auto"/>
            <w:vAlign w:val="center"/>
          </w:tcPr>
          <w:p w14:paraId="78C99B0F">
            <w:pPr>
              <w:pStyle w:val="178"/>
              <w:spacing w:line="240" w:lineRule="atLeast"/>
              <w:rPr>
                <w:rFonts w:hAnsi="宋体"/>
                <w:szCs w:val="18"/>
              </w:rPr>
            </w:pPr>
          </w:p>
        </w:tc>
        <w:tc>
          <w:tcPr>
            <w:tcW w:w="1852" w:type="dxa"/>
            <w:shd w:val="clear" w:color="auto" w:fill="auto"/>
            <w:vAlign w:val="center"/>
          </w:tcPr>
          <w:p w14:paraId="4A3C1EA8">
            <w:pPr>
              <w:pStyle w:val="178"/>
              <w:spacing w:line="240" w:lineRule="atLeast"/>
              <w:rPr>
                <w:rFonts w:hAnsi="宋体"/>
                <w:szCs w:val="18"/>
              </w:rPr>
            </w:pPr>
            <w:r>
              <w:rPr>
                <w:rFonts w:hint="eastAsia" w:hAnsi="宋体"/>
                <w:szCs w:val="18"/>
              </w:rPr>
              <w:t>滋气味</w:t>
            </w:r>
          </w:p>
        </w:tc>
        <w:tc>
          <w:tcPr>
            <w:tcW w:w="2744" w:type="dxa"/>
            <w:shd w:val="clear" w:color="auto" w:fill="auto"/>
            <w:vAlign w:val="center"/>
          </w:tcPr>
          <w:p w14:paraId="5F2D7250">
            <w:pPr>
              <w:pStyle w:val="178"/>
              <w:spacing w:line="240" w:lineRule="atLeast"/>
              <w:rPr>
                <w:rFonts w:hAnsi="宋体"/>
                <w:szCs w:val="18"/>
              </w:rPr>
            </w:pPr>
            <w:r>
              <w:rPr>
                <w:rFonts w:hint="eastAsia" w:hAnsi="宋体"/>
                <w:szCs w:val="18"/>
              </w:rPr>
              <w:t>具有本品特有的滋气味，无腐烂、无霉变、无异味。</w:t>
            </w:r>
          </w:p>
        </w:tc>
        <w:tc>
          <w:tcPr>
            <w:tcW w:w="2296" w:type="dxa"/>
            <w:vMerge w:val="continue"/>
            <w:shd w:val="clear" w:color="auto" w:fill="auto"/>
            <w:vAlign w:val="center"/>
          </w:tcPr>
          <w:p w14:paraId="68372F7D">
            <w:pPr>
              <w:pStyle w:val="178"/>
              <w:spacing w:line="240" w:lineRule="atLeast"/>
              <w:rPr>
                <w:rFonts w:hAnsi="宋体"/>
                <w:color w:val="FF0000"/>
                <w:szCs w:val="18"/>
              </w:rPr>
            </w:pPr>
          </w:p>
        </w:tc>
      </w:tr>
      <w:tr w14:paraId="4A97F8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c>
          <w:tcPr>
            <w:tcW w:w="577" w:type="dxa"/>
            <w:shd w:val="clear" w:color="auto" w:fill="auto"/>
            <w:vAlign w:val="center"/>
          </w:tcPr>
          <w:p w14:paraId="35257E4D">
            <w:pPr>
              <w:pStyle w:val="178"/>
              <w:spacing w:line="240" w:lineRule="atLeast"/>
              <w:rPr>
                <w:rFonts w:hAnsi="宋体"/>
                <w:szCs w:val="18"/>
              </w:rPr>
            </w:pPr>
            <w:r>
              <w:rPr>
                <w:rFonts w:hint="eastAsia" w:hAnsi="宋体"/>
                <w:szCs w:val="18"/>
              </w:rPr>
              <w:t>14</w:t>
            </w:r>
          </w:p>
        </w:tc>
        <w:tc>
          <w:tcPr>
            <w:tcW w:w="1017" w:type="dxa"/>
            <w:vMerge w:val="continue"/>
            <w:shd w:val="clear" w:color="auto" w:fill="auto"/>
            <w:vAlign w:val="center"/>
          </w:tcPr>
          <w:p w14:paraId="212786CD">
            <w:pPr>
              <w:pStyle w:val="178"/>
              <w:spacing w:line="240" w:lineRule="atLeast"/>
              <w:rPr>
                <w:rFonts w:hAnsi="宋体"/>
                <w:szCs w:val="18"/>
              </w:rPr>
            </w:pPr>
          </w:p>
        </w:tc>
        <w:tc>
          <w:tcPr>
            <w:tcW w:w="928" w:type="dxa"/>
            <w:vMerge w:val="continue"/>
            <w:shd w:val="clear" w:color="auto" w:fill="auto"/>
            <w:vAlign w:val="center"/>
          </w:tcPr>
          <w:p w14:paraId="4AE777D7">
            <w:pPr>
              <w:pStyle w:val="178"/>
              <w:spacing w:line="240" w:lineRule="atLeast"/>
              <w:rPr>
                <w:rFonts w:hAnsi="宋体"/>
                <w:szCs w:val="18"/>
              </w:rPr>
            </w:pPr>
          </w:p>
        </w:tc>
        <w:tc>
          <w:tcPr>
            <w:tcW w:w="1852" w:type="dxa"/>
            <w:shd w:val="clear" w:color="auto" w:fill="auto"/>
            <w:vAlign w:val="center"/>
          </w:tcPr>
          <w:p w14:paraId="0587F098">
            <w:pPr>
              <w:pStyle w:val="178"/>
              <w:spacing w:line="240" w:lineRule="atLeast"/>
              <w:rPr>
                <w:rFonts w:hAnsi="宋体"/>
                <w:szCs w:val="18"/>
              </w:rPr>
            </w:pPr>
            <w:r>
              <w:rPr>
                <w:rFonts w:hint="eastAsia" w:hAnsi="宋体"/>
                <w:szCs w:val="18"/>
              </w:rPr>
              <w:t>长度，cm</w:t>
            </w:r>
          </w:p>
        </w:tc>
        <w:tc>
          <w:tcPr>
            <w:tcW w:w="2744" w:type="dxa"/>
            <w:shd w:val="clear" w:color="auto" w:fill="auto"/>
            <w:vAlign w:val="center"/>
          </w:tcPr>
          <w:p w14:paraId="080C1AF9">
            <w:pPr>
              <w:pStyle w:val="178"/>
              <w:spacing w:line="240" w:lineRule="atLeast"/>
              <w:rPr>
                <w:rFonts w:hAnsi="宋体"/>
                <w:szCs w:val="18"/>
              </w:rPr>
            </w:pPr>
            <w:r>
              <w:rPr>
                <w:rFonts w:hint="eastAsia" w:hAnsi="宋体"/>
                <w:szCs w:val="18"/>
              </w:rPr>
              <w:t>7.0～10.0</w:t>
            </w:r>
          </w:p>
        </w:tc>
        <w:tc>
          <w:tcPr>
            <w:tcW w:w="2296" w:type="dxa"/>
            <w:shd w:val="clear" w:color="auto" w:fill="auto"/>
            <w:vAlign w:val="center"/>
          </w:tcPr>
          <w:p w14:paraId="3C2C5A53">
            <w:pPr>
              <w:pStyle w:val="178"/>
              <w:spacing w:line="240" w:lineRule="atLeast"/>
              <w:rPr>
                <w:rFonts w:hAnsi="宋体"/>
                <w:color w:val="FF0000"/>
                <w:szCs w:val="18"/>
              </w:rPr>
            </w:pPr>
            <w:r>
              <w:rPr>
                <w:rFonts w:hint="eastAsia" w:hAnsi="宋体"/>
                <w:szCs w:val="18"/>
              </w:rPr>
              <w:t>测量</w:t>
            </w:r>
          </w:p>
        </w:tc>
      </w:tr>
      <w:tr w14:paraId="54CA1A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c>
          <w:tcPr>
            <w:tcW w:w="577" w:type="dxa"/>
            <w:shd w:val="clear" w:color="auto" w:fill="auto"/>
            <w:vAlign w:val="center"/>
          </w:tcPr>
          <w:p w14:paraId="0D1919BD">
            <w:pPr>
              <w:pStyle w:val="178"/>
              <w:spacing w:line="240" w:lineRule="atLeast"/>
              <w:rPr>
                <w:rFonts w:hAnsi="宋体"/>
                <w:szCs w:val="18"/>
              </w:rPr>
            </w:pPr>
            <w:r>
              <w:rPr>
                <w:rFonts w:hint="eastAsia" w:hAnsi="宋体"/>
                <w:szCs w:val="18"/>
              </w:rPr>
              <w:t>15</w:t>
            </w:r>
          </w:p>
        </w:tc>
        <w:tc>
          <w:tcPr>
            <w:tcW w:w="1017" w:type="dxa"/>
            <w:vMerge w:val="continue"/>
            <w:shd w:val="clear" w:color="auto" w:fill="auto"/>
            <w:vAlign w:val="center"/>
          </w:tcPr>
          <w:p w14:paraId="54BD0E5A">
            <w:pPr>
              <w:pStyle w:val="178"/>
              <w:spacing w:line="240" w:lineRule="atLeast"/>
              <w:rPr>
                <w:rFonts w:hAnsi="宋体"/>
                <w:szCs w:val="18"/>
              </w:rPr>
            </w:pPr>
          </w:p>
        </w:tc>
        <w:tc>
          <w:tcPr>
            <w:tcW w:w="928" w:type="dxa"/>
            <w:shd w:val="clear" w:color="auto" w:fill="auto"/>
            <w:vAlign w:val="center"/>
          </w:tcPr>
          <w:p w14:paraId="70817252">
            <w:pPr>
              <w:pStyle w:val="178"/>
              <w:spacing w:line="240" w:lineRule="atLeast"/>
              <w:rPr>
                <w:rFonts w:hAnsi="宋体"/>
                <w:szCs w:val="18"/>
              </w:rPr>
            </w:pPr>
            <w:r>
              <w:rPr>
                <w:rFonts w:hAnsi="宋体"/>
                <w:szCs w:val="18"/>
              </w:rPr>
              <w:t>理化指标</w:t>
            </w:r>
          </w:p>
        </w:tc>
        <w:tc>
          <w:tcPr>
            <w:tcW w:w="1852" w:type="dxa"/>
            <w:shd w:val="clear" w:color="auto" w:fill="auto"/>
            <w:vAlign w:val="center"/>
          </w:tcPr>
          <w:p w14:paraId="26D3E9A3">
            <w:pPr>
              <w:pStyle w:val="178"/>
              <w:spacing w:line="240" w:lineRule="atLeast"/>
              <w:rPr>
                <w:rFonts w:hAnsi="宋体"/>
                <w:szCs w:val="18"/>
              </w:rPr>
            </w:pPr>
            <w:r>
              <w:rPr>
                <w:rFonts w:hint="eastAsia" w:hAnsi="宋体"/>
                <w:szCs w:val="18"/>
              </w:rPr>
              <w:t>粗蛋白，g/100g</w:t>
            </w:r>
          </w:p>
        </w:tc>
        <w:tc>
          <w:tcPr>
            <w:tcW w:w="2744" w:type="dxa"/>
            <w:shd w:val="clear" w:color="auto" w:fill="auto"/>
            <w:vAlign w:val="center"/>
          </w:tcPr>
          <w:p w14:paraId="2C0DF2D3">
            <w:pPr>
              <w:pStyle w:val="178"/>
              <w:spacing w:line="240" w:lineRule="atLeast"/>
              <w:rPr>
                <w:rFonts w:hAnsi="宋体"/>
                <w:szCs w:val="18"/>
              </w:rPr>
            </w:pPr>
            <w:r>
              <w:rPr>
                <w:rFonts w:hAnsi="宋体" w:cs="Arial"/>
                <w:szCs w:val="18"/>
              </w:rPr>
              <w:t>≥</w:t>
            </w:r>
            <w:r>
              <w:rPr>
                <w:rFonts w:hint="eastAsia" w:hAnsi="宋体" w:cs="宋体"/>
                <w:szCs w:val="18"/>
              </w:rPr>
              <w:t>3.2</w:t>
            </w:r>
          </w:p>
        </w:tc>
        <w:tc>
          <w:tcPr>
            <w:tcW w:w="2296" w:type="dxa"/>
            <w:shd w:val="clear" w:color="auto" w:fill="auto"/>
            <w:vAlign w:val="center"/>
          </w:tcPr>
          <w:p w14:paraId="716501B2">
            <w:pPr>
              <w:pStyle w:val="178"/>
              <w:spacing w:line="240" w:lineRule="atLeast"/>
              <w:rPr>
                <w:rFonts w:hAnsi="宋体"/>
                <w:szCs w:val="18"/>
              </w:rPr>
            </w:pPr>
            <w:r>
              <w:rPr>
                <w:rFonts w:hint="eastAsia" w:hAnsi="宋体"/>
                <w:szCs w:val="18"/>
              </w:rPr>
              <w:t>查看检测报告，按照GB 5009.5检测</w:t>
            </w:r>
          </w:p>
        </w:tc>
      </w:tr>
      <w:tr w14:paraId="6D1846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c>
          <w:tcPr>
            <w:tcW w:w="577" w:type="dxa"/>
            <w:shd w:val="clear" w:color="auto" w:fill="auto"/>
            <w:vAlign w:val="center"/>
          </w:tcPr>
          <w:p w14:paraId="36CD9831">
            <w:pPr>
              <w:pStyle w:val="178"/>
              <w:spacing w:line="240" w:lineRule="atLeast"/>
              <w:rPr>
                <w:rFonts w:hAnsi="宋体"/>
                <w:szCs w:val="18"/>
              </w:rPr>
            </w:pPr>
            <w:r>
              <w:rPr>
                <w:rFonts w:hint="eastAsia" w:hAnsi="宋体"/>
                <w:szCs w:val="18"/>
              </w:rPr>
              <w:t>16</w:t>
            </w:r>
          </w:p>
        </w:tc>
        <w:tc>
          <w:tcPr>
            <w:tcW w:w="1017" w:type="dxa"/>
            <w:vMerge w:val="continue"/>
            <w:shd w:val="clear" w:color="auto" w:fill="auto"/>
            <w:vAlign w:val="center"/>
          </w:tcPr>
          <w:p w14:paraId="5FB8EE19">
            <w:pPr>
              <w:pStyle w:val="178"/>
              <w:spacing w:line="240" w:lineRule="atLeast"/>
              <w:rPr>
                <w:rFonts w:hAnsi="宋体"/>
                <w:szCs w:val="18"/>
              </w:rPr>
            </w:pPr>
          </w:p>
        </w:tc>
        <w:tc>
          <w:tcPr>
            <w:tcW w:w="928" w:type="dxa"/>
            <w:vMerge w:val="restart"/>
            <w:shd w:val="clear" w:color="auto" w:fill="auto"/>
            <w:vAlign w:val="center"/>
          </w:tcPr>
          <w:p w14:paraId="10751A5F">
            <w:pPr>
              <w:pStyle w:val="178"/>
              <w:spacing w:line="240" w:lineRule="atLeast"/>
              <w:rPr>
                <w:rFonts w:hAnsi="宋体"/>
                <w:szCs w:val="18"/>
              </w:rPr>
            </w:pPr>
            <w:r>
              <w:rPr>
                <w:rFonts w:hint="eastAsia" w:hAnsi="宋体"/>
                <w:szCs w:val="18"/>
              </w:rPr>
              <w:t>安全指标</w:t>
            </w:r>
          </w:p>
        </w:tc>
        <w:tc>
          <w:tcPr>
            <w:tcW w:w="1852" w:type="dxa"/>
            <w:shd w:val="clear" w:color="auto" w:fill="auto"/>
            <w:vAlign w:val="center"/>
          </w:tcPr>
          <w:p w14:paraId="3679245D">
            <w:pPr>
              <w:pStyle w:val="178"/>
              <w:spacing w:line="240" w:lineRule="atLeast"/>
              <w:rPr>
                <w:rFonts w:hAnsi="宋体"/>
                <w:szCs w:val="18"/>
              </w:rPr>
            </w:pPr>
            <w:r>
              <w:rPr>
                <w:rFonts w:hint="eastAsia" w:hAnsi="宋体"/>
                <w:szCs w:val="18"/>
              </w:rPr>
              <w:t>农药残留</w:t>
            </w:r>
          </w:p>
        </w:tc>
        <w:tc>
          <w:tcPr>
            <w:tcW w:w="2744" w:type="dxa"/>
            <w:shd w:val="clear" w:color="auto" w:fill="auto"/>
            <w:vAlign w:val="center"/>
          </w:tcPr>
          <w:p w14:paraId="0E309B2C">
            <w:pPr>
              <w:pStyle w:val="178"/>
              <w:spacing w:line="240" w:lineRule="atLeast"/>
              <w:rPr>
                <w:rFonts w:hAnsi="宋体"/>
                <w:szCs w:val="18"/>
              </w:rPr>
            </w:pPr>
            <w:r>
              <w:rPr>
                <w:rFonts w:hint="eastAsia" w:hAnsi="宋体"/>
                <w:szCs w:val="18"/>
              </w:rPr>
              <w:t>应符合GB 2763</w:t>
            </w:r>
            <w:r>
              <w:rPr>
                <w:rFonts w:hAnsi="宋体"/>
                <w:szCs w:val="18"/>
              </w:rPr>
              <w:t xml:space="preserve"> </w:t>
            </w:r>
            <w:r>
              <w:rPr>
                <w:rFonts w:hint="eastAsia" w:hAnsi="宋体"/>
                <w:szCs w:val="18"/>
              </w:rPr>
              <w:t>的要求</w:t>
            </w:r>
          </w:p>
        </w:tc>
        <w:tc>
          <w:tcPr>
            <w:tcW w:w="2296" w:type="dxa"/>
            <w:shd w:val="clear" w:color="auto" w:fill="auto"/>
            <w:vAlign w:val="center"/>
          </w:tcPr>
          <w:p w14:paraId="55BB0AEB">
            <w:pPr>
              <w:pStyle w:val="178"/>
              <w:spacing w:line="240" w:lineRule="atLeast"/>
              <w:rPr>
                <w:rFonts w:hAnsi="宋体"/>
                <w:szCs w:val="18"/>
              </w:rPr>
            </w:pPr>
            <w:r>
              <w:rPr>
                <w:rFonts w:hint="eastAsia" w:hAnsi="宋体"/>
                <w:szCs w:val="18"/>
              </w:rPr>
              <w:t>查看检测报告</w:t>
            </w:r>
          </w:p>
        </w:tc>
      </w:tr>
      <w:tr w14:paraId="79AA0F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c>
          <w:tcPr>
            <w:tcW w:w="577" w:type="dxa"/>
            <w:shd w:val="clear" w:color="auto" w:fill="auto"/>
            <w:vAlign w:val="center"/>
          </w:tcPr>
          <w:p w14:paraId="0D85F83A">
            <w:pPr>
              <w:pStyle w:val="178"/>
              <w:spacing w:line="240" w:lineRule="atLeast"/>
              <w:rPr>
                <w:rFonts w:hAnsi="宋体"/>
                <w:szCs w:val="18"/>
              </w:rPr>
            </w:pPr>
            <w:r>
              <w:rPr>
                <w:rFonts w:hint="eastAsia" w:hAnsi="宋体"/>
                <w:szCs w:val="18"/>
              </w:rPr>
              <w:t>17</w:t>
            </w:r>
          </w:p>
        </w:tc>
        <w:tc>
          <w:tcPr>
            <w:tcW w:w="1017" w:type="dxa"/>
            <w:vMerge w:val="continue"/>
            <w:shd w:val="clear" w:color="auto" w:fill="auto"/>
            <w:vAlign w:val="center"/>
          </w:tcPr>
          <w:p w14:paraId="4EEC64EA">
            <w:pPr>
              <w:pStyle w:val="178"/>
              <w:spacing w:line="240" w:lineRule="atLeast"/>
              <w:rPr>
                <w:rFonts w:hAnsi="宋体"/>
                <w:szCs w:val="18"/>
              </w:rPr>
            </w:pPr>
          </w:p>
        </w:tc>
        <w:tc>
          <w:tcPr>
            <w:tcW w:w="928" w:type="dxa"/>
            <w:vMerge w:val="continue"/>
            <w:shd w:val="clear" w:color="auto" w:fill="auto"/>
            <w:vAlign w:val="center"/>
          </w:tcPr>
          <w:p w14:paraId="490501E1">
            <w:pPr>
              <w:pStyle w:val="178"/>
              <w:spacing w:line="240" w:lineRule="atLeast"/>
              <w:rPr>
                <w:rFonts w:hAnsi="宋体"/>
                <w:szCs w:val="18"/>
              </w:rPr>
            </w:pPr>
          </w:p>
        </w:tc>
        <w:tc>
          <w:tcPr>
            <w:tcW w:w="1852" w:type="dxa"/>
            <w:shd w:val="clear" w:color="auto" w:fill="auto"/>
            <w:vAlign w:val="center"/>
          </w:tcPr>
          <w:p w14:paraId="2988C11F">
            <w:pPr>
              <w:pStyle w:val="178"/>
              <w:spacing w:line="240" w:lineRule="atLeast"/>
              <w:rPr>
                <w:rFonts w:hAnsi="宋体"/>
                <w:szCs w:val="18"/>
              </w:rPr>
            </w:pPr>
            <w:r>
              <w:rPr>
                <w:rFonts w:hint="eastAsia" w:hAnsi="宋体"/>
                <w:szCs w:val="18"/>
              </w:rPr>
              <w:t>污染物限量</w:t>
            </w:r>
          </w:p>
        </w:tc>
        <w:tc>
          <w:tcPr>
            <w:tcW w:w="2744" w:type="dxa"/>
            <w:shd w:val="clear" w:color="auto" w:fill="auto"/>
            <w:vAlign w:val="center"/>
          </w:tcPr>
          <w:p w14:paraId="524F20B1">
            <w:pPr>
              <w:pStyle w:val="178"/>
              <w:spacing w:line="240" w:lineRule="atLeast"/>
              <w:rPr>
                <w:rFonts w:hAnsi="宋体"/>
                <w:szCs w:val="18"/>
              </w:rPr>
            </w:pPr>
            <w:r>
              <w:rPr>
                <w:rFonts w:hint="eastAsia" w:hAnsi="宋体"/>
                <w:szCs w:val="18"/>
              </w:rPr>
              <w:t>应符合GB 2762</w:t>
            </w:r>
            <w:r>
              <w:rPr>
                <w:rFonts w:hAnsi="宋体"/>
                <w:szCs w:val="18"/>
              </w:rPr>
              <w:t xml:space="preserve"> </w:t>
            </w:r>
            <w:r>
              <w:rPr>
                <w:rFonts w:hint="eastAsia" w:hAnsi="宋体"/>
                <w:szCs w:val="18"/>
              </w:rPr>
              <w:t>的规定</w:t>
            </w:r>
          </w:p>
        </w:tc>
        <w:tc>
          <w:tcPr>
            <w:tcW w:w="2296" w:type="dxa"/>
            <w:shd w:val="clear" w:color="auto" w:fill="auto"/>
            <w:vAlign w:val="center"/>
          </w:tcPr>
          <w:p w14:paraId="3920E151">
            <w:pPr>
              <w:spacing w:line="240" w:lineRule="atLeast"/>
              <w:jc w:val="center"/>
              <w:rPr>
                <w:rFonts w:ascii="宋体" w:hAnsi="宋体"/>
                <w:sz w:val="18"/>
                <w:szCs w:val="18"/>
              </w:rPr>
            </w:pPr>
            <w:r>
              <w:rPr>
                <w:rFonts w:hint="eastAsia" w:ascii="宋体" w:hAnsi="宋体"/>
                <w:sz w:val="18"/>
                <w:szCs w:val="18"/>
              </w:rPr>
              <w:t>查看检测报告</w:t>
            </w:r>
          </w:p>
        </w:tc>
      </w:tr>
      <w:tr w14:paraId="1BDB0C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c>
          <w:tcPr>
            <w:tcW w:w="577" w:type="dxa"/>
            <w:tcBorders>
              <w:bottom w:val="single" w:color="auto" w:sz="8" w:space="0"/>
            </w:tcBorders>
            <w:shd w:val="clear" w:color="auto" w:fill="auto"/>
            <w:vAlign w:val="center"/>
          </w:tcPr>
          <w:p w14:paraId="0EB7CB2D">
            <w:pPr>
              <w:pStyle w:val="178"/>
              <w:spacing w:line="240" w:lineRule="atLeast"/>
              <w:rPr>
                <w:rFonts w:hAnsi="宋体"/>
                <w:szCs w:val="18"/>
              </w:rPr>
            </w:pPr>
            <w:r>
              <w:rPr>
                <w:rFonts w:hint="eastAsia" w:hAnsi="宋体"/>
                <w:szCs w:val="18"/>
              </w:rPr>
              <w:t>18</w:t>
            </w:r>
          </w:p>
        </w:tc>
        <w:tc>
          <w:tcPr>
            <w:tcW w:w="1017" w:type="dxa"/>
            <w:vMerge w:val="continue"/>
            <w:tcBorders>
              <w:bottom w:val="single" w:color="auto" w:sz="8" w:space="0"/>
            </w:tcBorders>
            <w:shd w:val="clear" w:color="auto" w:fill="auto"/>
            <w:vAlign w:val="center"/>
          </w:tcPr>
          <w:p w14:paraId="01986FB3">
            <w:pPr>
              <w:pStyle w:val="178"/>
              <w:spacing w:line="240" w:lineRule="atLeast"/>
              <w:rPr>
                <w:rFonts w:hAnsi="宋体"/>
                <w:szCs w:val="18"/>
              </w:rPr>
            </w:pPr>
          </w:p>
        </w:tc>
        <w:tc>
          <w:tcPr>
            <w:tcW w:w="928" w:type="dxa"/>
            <w:tcBorders>
              <w:bottom w:val="single" w:color="auto" w:sz="8" w:space="0"/>
            </w:tcBorders>
            <w:shd w:val="clear" w:color="auto" w:fill="auto"/>
            <w:vAlign w:val="center"/>
          </w:tcPr>
          <w:p w14:paraId="3C2DC5F9">
            <w:pPr>
              <w:pStyle w:val="178"/>
              <w:spacing w:line="240" w:lineRule="atLeast"/>
              <w:rPr>
                <w:rFonts w:hAnsi="宋体"/>
                <w:szCs w:val="18"/>
              </w:rPr>
            </w:pPr>
            <w:r>
              <w:rPr>
                <w:rFonts w:hint="eastAsia" w:hAnsi="宋体"/>
                <w:szCs w:val="18"/>
              </w:rPr>
              <w:t>溯源管理</w:t>
            </w:r>
          </w:p>
        </w:tc>
        <w:tc>
          <w:tcPr>
            <w:tcW w:w="4596" w:type="dxa"/>
            <w:gridSpan w:val="2"/>
            <w:tcBorders>
              <w:bottom w:val="single" w:color="auto" w:sz="8" w:space="0"/>
            </w:tcBorders>
            <w:shd w:val="clear" w:color="auto" w:fill="auto"/>
            <w:vAlign w:val="center"/>
          </w:tcPr>
          <w:p w14:paraId="34C569A8">
            <w:pPr>
              <w:pStyle w:val="178"/>
              <w:spacing w:line="240" w:lineRule="atLeast"/>
              <w:rPr>
                <w:rFonts w:hAnsi="宋体"/>
                <w:szCs w:val="18"/>
              </w:rPr>
            </w:pPr>
            <w:r>
              <w:rPr>
                <w:rFonts w:hint="eastAsia" w:hAnsi="宋体"/>
                <w:spacing w:val="-3"/>
                <w:szCs w:val="18"/>
              </w:rPr>
              <w:t>建立质量追溯系统（宜采用</w:t>
            </w:r>
            <w:r>
              <w:rPr>
                <w:rFonts w:hint="eastAsia" w:hAnsi="宋体"/>
                <w:spacing w:val="-38"/>
                <w:szCs w:val="18"/>
              </w:rPr>
              <w:t xml:space="preserve"> </w:t>
            </w:r>
            <w:r>
              <w:rPr>
                <w:rFonts w:hint="eastAsia" w:hAnsi="宋体"/>
                <w:spacing w:val="-3"/>
                <w:szCs w:val="18"/>
              </w:rPr>
              <w:t>GS1</w:t>
            </w:r>
            <w:r>
              <w:rPr>
                <w:rFonts w:hint="eastAsia" w:hAnsi="宋体"/>
                <w:spacing w:val="-21"/>
                <w:szCs w:val="18"/>
              </w:rPr>
              <w:t xml:space="preserve"> </w:t>
            </w:r>
            <w:r>
              <w:rPr>
                <w:rFonts w:hint="eastAsia" w:hAnsi="宋体"/>
                <w:spacing w:val="-3"/>
                <w:szCs w:val="18"/>
              </w:rPr>
              <w:t>国际统一追溯标准</w:t>
            </w:r>
            <w:r>
              <w:rPr>
                <w:rFonts w:hint="eastAsia" w:hAnsi="宋体"/>
                <w:spacing w:val="-22"/>
                <w:szCs w:val="18"/>
              </w:rPr>
              <w:t>），</w:t>
            </w:r>
            <w:r>
              <w:rPr>
                <w:rFonts w:hint="eastAsia" w:hAnsi="宋体"/>
                <w:spacing w:val="-3"/>
                <w:szCs w:val="18"/>
              </w:rPr>
              <w:t>记录从</w:t>
            </w:r>
            <w:r>
              <w:rPr>
                <w:rFonts w:hint="eastAsia" w:hAnsi="宋体"/>
                <w:spacing w:val="-1"/>
                <w:szCs w:val="18"/>
              </w:rPr>
              <w:t>种植、贮藏运输、销售等生产全过程的关键信息。</w:t>
            </w:r>
          </w:p>
        </w:tc>
        <w:tc>
          <w:tcPr>
            <w:tcW w:w="2296" w:type="dxa"/>
            <w:tcBorders>
              <w:bottom w:val="single" w:color="auto" w:sz="8" w:space="0"/>
            </w:tcBorders>
            <w:shd w:val="clear" w:color="auto" w:fill="auto"/>
            <w:vAlign w:val="center"/>
          </w:tcPr>
          <w:p w14:paraId="6A2364FD">
            <w:pPr>
              <w:pStyle w:val="178"/>
              <w:spacing w:line="240" w:lineRule="atLeast"/>
              <w:rPr>
                <w:rFonts w:hAnsi="宋体"/>
                <w:szCs w:val="18"/>
              </w:rPr>
            </w:pPr>
            <w:r>
              <w:rPr>
                <w:rFonts w:hint="eastAsia" w:hAnsi="宋体"/>
                <w:szCs w:val="18"/>
              </w:rPr>
              <w:t>查看产品包装，溯源信息或相应文件记录</w:t>
            </w:r>
          </w:p>
        </w:tc>
      </w:tr>
    </w:tbl>
    <w:p w14:paraId="6493321F">
      <w:pPr>
        <w:pStyle w:val="162"/>
      </w:pPr>
      <w:r>
        <w:rPr>
          <w:rFonts w:hint="eastAsia"/>
        </w:rPr>
        <w:t>符合第4章基本要求和表1评价指标且通过认证的产品，则授予“江西绿色生态”认证证书和标志。</w:t>
      </w:r>
    </w:p>
    <w:bookmarkEnd w:id="30"/>
    <w:p w14:paraId="1F2D5A75">
      <w:pPr>
        <w:pStyle w:val="56"/>
        <w:ind w:firstLine="0" w:firstLineChars="0"/>
        <w:jc w:val="center"/>
      </w:pPr>
      <w:bookmarkStart w:id="69" w:name="BookMark8"/>
      <w: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9"/>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92238">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705C5">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96E48">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E1C01">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86FDA">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EB7FB">
    <w:pPr>
      <w:pStyle w:val="61"/>
    </w:pPr>
    <w:r>
      <w:fldChar w:fldCharType="begin"/>
    </w:r>
    <w:r>
      <w:instrText xml:space="preserve"> STYLEREF  标准文件_文件编号  \* MERGEFORMAT </w:instrText>
    </w:r>
    <w:r>
      <w:fldChar w:fldCharType="separate"/>
    </w:r>
    <w:r>
      <w:t>T/JCE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28685">
    <w:pPr>
      <w:pStyle w:val="18"/>
      <w:jc w:val="right"/>
    </w:pPr>
    <w:r>
      <w:fldChar w:fldCharType="begin"/>
    </w:r>
    <w:r>
      <w:instrText xml:space="preserve"> STYLEREF  标准文件_文件编号  \* MERGEFORMAT </w:instrText>
    </w:r>
    <w:r>
      <w:fldChar w:fldCharType="separate"/>
    </w:r>
    <w:r>
      <w:t>T/JCE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PGgpyJ346cKIMfWWcTfdBz4uYweGZXiiJP57Qh49OnLOcQdgwsYWluaLMFeIhh7fUVMikmiIJRAspWCxJ/n/tQ==" w:salt="krmoFhinCHj4KoWzN/qgCg=="/>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3YjViN2E1M2IwZTJhNDVkMTBjZDQxODBhODhlNGEifQ=="/>
  </w:docVars>
  <w:rsids>
    <w:rsidRoot w:val="00E66B5E"/>
    <w:rsid w:val="0000040A"/>
    <w:rsid w:val="00000A94"/>
    <w:rsid w:val="00001972"/>
    <w:rsid w:val="00001D9A"/>
    <w:rsid w:val="00007B3A"/>
    <w:rsid w:val="000107E0"/>
    <w:rsid w:val="00010BF7"/>
    <w:rsid w:val="00011FDE"/>
    <w:rsid w:val="00012FFD"/>
    <w:rsid w:val="00013654"/>
    <w:rsid w:val="00013870"/>
    <w:rsid w:val="00014162"/>
    <w:rsid w:val="00014340"/>
    <w:rsid w:val="00016A9C"/>
    <w:rsid w:val="0002172A"/>
    <w:rsid w:val="00022184"/>
    <w:rsid w:val="00022762"/>
    <w:rsid w:val="000238E0"/>
    <w:rsid w:val="000249DB"/>
    <w:rsid w:val="0002595E"/>
    <w:rsid w:val="00026644"/>
    <w:rsid w:val="000303C3"/>
    <w:rsid w:val="000331D3"/>
    <w:rsid w:val="000346A5"/>
    <w:rsid w:val="00034838"/>
    <w:rsid w:val="000359C3"/>
    <w:rsid w:val="00035A7D"/>
    <w:rsid w:val="000365ED"/>
    <w:rsid w:val="0004249A"/>
    <w:rsid w:val="00043282"/>
    <w:rsid w:val="00044286"/>
    <w:rsid w:val="000459A2"/>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B57"/>
    <w:rsid w:val="00067F1E"/>
    <w:rsid w:val="00071CC0"/>
    <w:rsid w:val="00071CFC"/>
    <w:rsid w:val="00073C8C"/>
    <w:rsid w:val="00077B64"/>
    <w:rsid w:val="00080A1C"/>
    <w:rsid w:val="00082317"/>
    <w:rsid w:val="00083D2C"/>
    <w:rsid w:val="00086AA1"/>
    <w:rsid w:val="00087A77"/>
    <w:rsid w:val="00090CA6"/>
    <w:rsid w:val="000927EE"/>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D45"/>
    <w:rsid w:val="000B1FF2"/>
    <w:rsid w:val="000B3CDA"/>
    <w:rsid w:val="000B6A0B"/>
    <w:rsid w:val="000C0F6C"/>
    <w:rsid w:val="000C11DB"/>
    <w:rsid w:val="000C1492"/>
    <w:rsid w:val="000C17DF"/>
    <w:rsid w:val="000C2FBD"/>
    <w:rsid w:val="000C4B41"/>
    <w:rsid w:val="000C57D6"/>
    <w:rsid w:val="000C6362"/>
    <w:rsid w:val="000C7666"/>
    <w:rsid w:val="000D0A9C"/>
    <w:rsid w:val="000D1795"/>
    <w:rsid w:val="000D329A"/>
    <w:rsid w:val="000D4B9C"/>
    <w:rsid w:val="000D4EB6"/>
    <w:rsid w:val="000D753B"/>
    <w:rsid w:val="000E142A"/>
    <w:rsid w:val="000E4C9E"/>
    <w:rsid w:val="000E6FD7"/>
    <w:rsid w:val="000E7144"/>
    <w:rsid w:val="000F06E1"/>
    <w:rsid w:val="000F0E3C"/>
    <w:rsid w:val="000F19D5"/>
    <w:rsid w:val="000F4050"/>
    <w:rsid w:val="000F4AEA"/>
    <w:rsid w:val="000F67E9"/>
    <w:rsid w:val="00104926"/>
    <w:rsid w:val="00107727"/>
    <w:rsid w:val="00113B1E"/>
    <w:rsid w:val="0011711C"/>
    <w:rsid w:val="00123ED1"/>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6D5"/>
    <w:rsid w:val="00187A0B"/>
    <w:rsid w:val="00190087"/>
    <w:rsid w:val="001913C4"/>
    <w:rsid w:val="0019348F"/>
    <w:rsid w:val="00193A07"/>
    <w:rsid w:val="00194C95"/>
    <w:rsid w:val="00195C34"/>
    <w:rsid w:val="00196EF5"/>
    <w:rsid w:val="001A1A53"/>
    <w:rsid w:val="001A234A"/>
    <w:rsid w:val="001A4CF3"/>
    <w:rsid w:val="001A5FDB"/>
    <w:rsid w:val="001A6696"/>
    <w:rsid w:val="001B06E8"/>
    <w:rsid w:val="001B71D0"/>
    <w:rsid w:val="001B71EE"/>
    <w:rsid w:val="001C04A8"/>
    <w:rsid w:val="001C0BFA"/>
    <w:rsid w:val="001C2C03"/>
    <w:rsid w:val="001C42F7"/>
    <w:rsid w:val="001C49E5"/>
    <w:rsid w:val="001C4B28"/>
    <w:rsid w:val="001C5CE4"/>
    <w:rsid w:val="001C680C"/>
    <w:rsid w:val="001C7FEA"/>
    <w:rsid w:val="001D0499"/>
    <w:rsid w:val="001D0BBE"/>
    <w:rsid w:val="001D0D63"/>
    <w:rsid w:val="001D0ED4"/>
    <w:rsid w:val="001D0EE8"/>
    <w:rsid w:val="001D212F"/>
    <w:rsid w:val="001D29D7"/>
    <w:rsid w:val="001D2DE7"/>
    <w:rsid w:val="001D411C"/>
    <w:rsid w:val="001E0CBA"/>
    <w:rsid w:val="001E1B6A"/>
    <w:rsid w:val="001E2484"/>
    <w:rsid w:val="001E3CC4"/>
    <w:rsid w:val="001E3F35"/>
    <w:rsid w:val="001E4882"/>
    <w:rsid w:val="001E73AB"/>
    <w:rsid w:val="001F092D"/>
    <w:rsid w:val="001F143A"/>
    <w:rsid w:val="001F1605"/>
    <w:rsid w:val="001F2508"/>
    <w:rsid w:val="001F2DA1"/>
    <w:rsid w:val="001F2DAE"/>
    <w:rsid w:val="001F4816"/>
    <w:rsid w:val="001F69B4"/>
    <w:rsid w:val="001F77C7"/>
    <w:rsid w:val="00200183"/>
    <w:rsid w:val="00200333"/>
    <w:rsid w:val="0020107D"/>
    <w:rsid w:val="00202AA4"/>
    <w:rsid w:val="002031F7"/>
    <w:rsid w:val="002040E6"/>
    <w:rsid w:val="0020527B"/>
    <w:rsid w:val="00205F2C"/>
    <w:rsid w:val="00210B15"/>
    <w:rsid w:val="00211B7D"/>
    <w:rsid w:val="002142EA"/>
    <w:rsid w:val="00215ADD"/>
    <w:rsid w:val="002204BB"/>
    <w:rsid w:val="00221B79"/>
    <w:rsid w:val="00221C6B"/>
    <w:rsid w:val="00222B95"/>
    <w:rsid w:val="00223781"/>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244E"/>
    <w:rsid w:val="002E4D5A"/>
    <w:rsid w:val="002E6326"/>
    <w:rsid w:val="002F30E0"/>
    <w:rsid w:val="002F35E4"/>
    <w:rsid w:val="002F3730"/>
    <w:rsid w:val="002F38E1"/>
    <w:rsid w:val="002F596B"/>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1DE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07CD"/>
    <w:rsid w:val="00381815"/>
    <w:rsid w:val="003819AF"/>
    <w:rsid w:val="003820E9"/>
    <w:rsid w:val="00382DE7"/>
    <w:rsid w:val="00384225"/>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0FC7"/>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52E6"/>
    <w:rsid w:val="003E660F"/>
    <w:rsid w:val="003F053B"/>
    <w:rsid w:val="003F0841"/>
    <w:rsid w:val="003F23D3"/>
    <w:rsid w:val="003F3F08"/>
    <w:rsid w:val="003F49F1"/>
    <w:rsid w:val="003F6272"/>
    <w:rsid w:val="00400E72"/>
    <w:rsid w:val="00401400"/>
    <w:rsid w:val="00404869"/>
    <w:rsid w:val="00405884"/>
    <w:rsid w:val="00407D39"/>
    <w:rsid w:val="00410E80"/>
    <w:rsid w:val="0041477A"/>
    <w:rsid w:val="004167A3"/>
    <w:rsid w:val="004216BD"/>
    <w:rsid w:val="00426F9E"/>
    <w:rsid w:val="00427EA3"/>
    <w:rsid w:val="00432DAA"/>
    <w:rsid w:val="00434305"/>
    <w:rsid w:val="00435DF7"/>
    <w:rsid w:val="0044083F"/>
    <w:rsid w:val="00441AE7"/>
    <w:rsid w:val="004450D8"/>
    <w:rsid w:val="00445574"/>
    <w:rsid w:val="004467FB"/>
    <w:rsid w:val="004473AB"/>
    <w:rsid w:val="00452D6B"/>
    <w:rsid w:val="00454484"/>
    <w:rsid w:val="0045517B"/>
    <w:rsid w:val="0045642E"/>
    <w:rsid w:val="00461966"/>
    <w:rsid w:val="00463B77"/>
    <w:rsid w:val="00463C7B"/>
    <w:rsid w:val="004644A6"/>
    <w:rsid w:val="004659BD"/>
    <w:rsid w:val="00470775"/>
    <w:rsid w:val="00473512"/>
    <w:rsid w:val="004746B1"/>
    <w:rsid w:val="004752F0"/>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0D73"/>
    <w:rsid w:val="004B2701"/>
    <w:rsid w:val="004B2E1B"/>
    <w:rsid w:val="004B3AA8"/>
    <w:rsid w:val="004B3E93"/>
    <w:rsid w:val="004C0FEE"/>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22B"/>
    <w:rsid w:val="00555044"/>
    <w:rsid w:val="00561475"/>
    <w:rsid w:val="00562308"/>
    <w:rsid w:val="0056487B"/>
    <w:rsid w:val="00564FB9"/>
    <w:rsid w:val="005724BC"/>
    <w:rsid w:val="00573D9E"/>
    <w:rsid w:val="00575055"/>
    <w:rsid w:val="00575493"/>
    <w:rsid w:val="005801E3"/>
    <w:rsid w:val="00581802"/>
    <w:rsid w:val="00581F7F"/>
    <w:rsid w:val="005836A8"/>
    <w:rsid w:val="0058409C"/>
    <w:rsid w:val="00584262"/>
    <w:rsid w:val="00586630"/>
    <w:rsid w:val="00586DDE"/>
    <w:rsid w:val="00587ADD"/>
    <w:rsid w:val="00593A49"/>
    <w:rsid w:val="00596160"/>
    <w:rsid w:val="005966E2"/>
    <w:rsid w:val="00597007"/>
    <w:rsid w:val="005A0966"/>
    <w:rsid w:val="005A11B7"/>
    <w:rsid w:val="005A1749"/>
    <w:rsid w:val="005A260B"/>
    <w:rsid w:val="005A2D64"/>
    <w:rsid w:val="005A4A1B"/>
    <w:rsid w:val="005A7830"/>
    <w:rsid w:val="005A7FCE"/>
    <w:rsid w:val="005B0F3F"/>
    <w:rsid w:val="005B191C"/>
    <w:rsid w:val="005B4903"/>
    <w:rsid w:val="005B4D4C"/>
    <w:rsid w:val="005B51CE"/>
    <w:rsid w:val="005B5885"/>
    <w:rsid w:val="005B5CD7"/>
    <w:rsid w:val="005B6CF6"/>
    <w:rsid w:val="005B7422"/>
    <w:rsid w:val="005C29B8"/>
    <w:rsid w:val="005C48AB"/>
    <w:rsid w:val="005C5F21"/>
    <w:rsid w:val="005C7156"/>
    <w:rsid w:val="005D0C75"/>
    <w:rsid w:val="005D4171"/>
    <w:rsid w:val="005D6A95"/>
    <w:rsid w:val="005D6B2C"/>
    <w:rsid w:val="005D6D9C"/>
    <w:rsid w:val="005E1EDE"/>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34B"/>
    <w:rsid w:val="00640620"/>
    <w:rsid w:val="00641A1F"/>
    <w:rsid w:val="006434E1"/>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C2"/>
    <w:rsid w:val="00672BFD"/>
    <w:rsid w:val="006770F4"/>
    <w:rsid w:val="00677A84"/>
    <w:rsid w:val="0068026D"/>
    <w:rsid w:val="00680A27"/>
    <w:rsid w:val="006816A4"/>
    <w:rsid w:val="006819B8"/>
    <w:rsid w:val="006840A6"/>
    <w:rsid w:val="006850CD"/>
    <w:rsid w:val="00685AAB"/>
    <w:rsid w:val="00691964"/>
    <w:rsid w:val="006A07AA"/>
    <w:rsid w:val="006A09A6"/>
    <w:rsid w:val="006A1018"/>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2913"/>
    <w:rsid w:val="006D3E96"/>
    <w:rsid w:val="006D4515"/>
    <w:rsid w:val="006D4BB1"/>
    <w:rsid w:val="006D6593"/>
    <w:rsid w:val="006E638C"/>
    <w:rsid w:val="006F03A8"/>
    <w:rsid w:val="006F2ACA"/>
    <w:rsid w:val="006F2ADC"/>
    <w:rsid w:val="006F2BFE"/>
    <w:rsid w:val="006F31E9"/>
    <w:rsid w:val="006F6284"/>
    <w:rsid w:val="007002C5"/>
    <w:rsid w:val="00704387"/>
    <w:rsid w:val="00707669"/>
    <w:rsid w:val="007106EA"/>
    <w:rsid w:val="00711CBA"/>
    <w:rsid w:val="00711FB5"/>
    <w:rsid w:val="00712A01"/>
    <w:rsid w:val="00714F58"/>
    <w:rsid w:val="00721D53"/>
    <w:rsid w:val="00722770"/>
    <w:rsid w:val="00722FBF"/>
    <w:rsid w:val="00722FC2"/>
    <w:rsid w:val="007235B0"/>
    <w:rsid w:val="00724E1B"/>
    <w:rsid w:val="00725949"/>
    <w:rsid w:val="007279D0"/>
    <w:rsid w:val="00727FA2"/>
    <w:rsid w:val="007322D9"/>
    <w:rsid w:val="00732BC0"/>
    <w:rsid w:val="0073720F"/>
    <w:rsid w:val="00737796"/>
    <w:rsid w:val="00737A9B"/>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2FE"/>
    <w:rsid w:val="00755402"/>
    <w:rsid w:val="00755570"/>
    <w:rsid w:val="00755C16"/>
    <w:rsid w:val="00756B26"/>
    <w:rsid w:val="00756EDF"/>
    <w:rsid w:val="00756F7E"/>
    <w:rsid w:val="007600E3"/>
    <w:rsid w:val="00765C43"/>
    <w:rsid w:val="00765EFB"/>
    <w:rsid w:val="00766BC9"/>
    <w:rsid w:val="007671CA"/>
    <w:rsid w:val="00767C61"/>
    <w:rsid w:val="0077008A"/>
    <w:rsid w:val="00773C1F"/>
    <w:rsid w:val="00774DA4"/>
    <w:rsid w:val="00776599"/>
    <w:rsid w:val="007777BF"/>
    <w:rsid w:val="0078114B"/>
    <w:rsid w:val="00781DD2"/>
    <w:rsid w:val="00783ECF"/>
    <w:rsid w:val="0078413A"/>
    <w:rsid w:val="00786081"/>
    <w:rsid w:val="007959E8"/>
    <w:rsid w:val="00795E9C"/>
    <w:rsid w:val="00797C7B"/>
    <w:rsid w:val="007A0521"/>
    <w:rsid w:val="007A2E12"/>
    <w:rsid w:val="007A3475"/>
    <w:rsid w:val="007A41C8"/>
    <w:rsid w:val="007A54CE"/>
    <w:rsid w:val="007A5D3A"/>
    <w:rsid w:val="007A6FD9"/>
    <w:rsid w:val="007A7173"/>
    <w:rsid w:val="007A7FFA"/>
    <w:rsid w:val="007B04EB"/>
    <w:rsid w:val="007B0D4F"/>
    <w:rsid w:val="007B5A3D"/>
    <w:rsid w:val="007B5B95"/>
    <w:rsid w:val="007B6032"/>
    <w:rsid w:val="007B68EA"/>
    <w:rsid w:val="007B7140"/>
    <w:rsid w:val="007B7453"/>
    <w:rsid w:val="007C2D89"/>
    <w:rsid w:val="007C3636"/>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8F7"/>
    <w:rsid w:val="008209E6"/>
    <w:rsid w:val="00821D19"/>
    <w:rsid w:val="00823303"/>
    <w:rsid w:val="008233B2"/>
    <w:rsid w:val="00823A9F"/>
    <w:rsid w:val="00823C85"/>
    <w:rsid w:val="00825138"/>
    <w:rsid w:val="008269DD"/>
    <w:rsid w:val="00830621"/>
    <w:rsid w:val="00831498"/>
    <w:rsid w:val="0083348C"/>
    <w:rsid w:val="008373D3"/>
    <w:rsid w:val="00840617"/>
    <w:rsid w:val="00840F84"/>
    <w:rsid w:val="00842A47"/>
    <w:rsid w:val="00843C13"/>
    <w:rsid w:val="00843DEF"/>
    <w:rsid w:val="008454F8"/>
    <w:rsid w:val="0085173A"/>
    <w:rsid w:val="008538ED"/>
    <w:rsid w:val="008603CE"/>
    <w:rsid w:val="008620FC"/>
    <w:rsid w:val="008627A5"/>
    <w:rsid w:val="00863E05"/>
    <w:rsid w:val="00865ACA"/>
    <w:rsid w:val="00865D28"/>
    <w:rsid w:val="00865F85"/>
    <w:rsid w:val="00867C10"/>
    <w:rsid w:val="00870439"/>
    <w:rsid w:val="00870DA1"/>
    <w:rsid w:val="0087161D"/>
    <w:rsid w:val="00881FFC"/>
    <w:rsid w:val="00882421"/>
    <w:rsid w:val="00883F93"/>
    <w:rsid w:val="00884DB3"/>
    <w:rsid w:val="00885A9D"/>
    <w:rsid w:val="008864F6"/>
    <w:rsid w:val="0088711B"/>
    <w:rsid w:val="0089049D"/>
    <w:rsid w:val="008928C9"/>
    <w:rsid w:val="008930CB"/>
    <w:rsid w:val="008938DC"/>
    <w:rsid w:val="00893FD1"/>
    <w:rsid w:val="00894836"/>
    <w:rsid w:val="00895172"/>
    <w:rsid w:val="00895680"/>
    <w:rsid w:val="00896DFF"/>
    <w:rsid w:val="0089762C"/>
    <w:rsid w:val="008A173B"/>
    <w:rsid w:val="008A1893"/>
    <w:rsid w:val="008A1F54"/>
    <w:rsid w:val="008A2667"/>
    <w:rsid w:val="008A57E6"/>
    <w:rsid w:val="008A6F81"/>
    <w:rsid w:val="008A769A"/>
    <w:rsid w:val="008B0C9C"/>
    <w:rsid w:val="008B166D"/>
    <w:rsid w:val="008B17F4"/>
    <w:rsid w:val="008B3615"/>
    <w:rsid w:val="008B4AC4"/>
    <w:rsid w:val="008B50C8"/>
    <w:rsid w:val="008B5281"/>
    <w:rsid w:val="008B6ECA"/>
    <w:rsid w:val="008B7E05"/>
    <w:rsid w:val="008C1797"/>
    <w:rsid w:val="008C219C"/>
    <w:rsid w:val="008C475E"/>
    <w:rsid w:val="008C619A"/>
    <w:rsid w:val="008D0CE8"/>
    <w:rsid w:val="008D2B5A"/>
    <w:rsid w:val="008D2D1D"/>
    <w:rsid w:val="008D453D"/>
    <w:rsid w:val="008D4AB2"/>
    <w:rsid w:val="008D53AD"/>
    <w:rsid w:val="008D562B"/>
    <w:rsid w:val="008D5733"/>
    <w:rsid w:val="008D622B"/>
    <w:rsid w:val="008D666C"/>
    <w:rsid w:val="008D7B54"/>
    <w:rsid w:val="008E0C9D"/>
    <w:rsid w:val="008E1648"/>
    <w:rsid w:val="008E1B3E"/>
    <w:rsid w:val="008E2319"/>
    <w:rsid w:val="008E41FD"/>
    <w:rsid w:val="008E4BB6"/>
    <w:rsid w:val="008E5518"/>
    <w:rsid w:val="008E6A84"/>
    <w:rsid w:val="008F0CDC"/>
    <w:rsid w:val="008F17A3"/>
    <w:rsid w:val="008F1ED3"/>
    <w:rsid w:val="008F4C29"/>
    <w:rsid w:val="008F70BD"/>
    <w:rsid w:val="008F788F"/>
    <w:rsid w:val="008F7EA2"/>
    <w:rsid w:val="00902722"/>
    <w:rsid w:val="009027BC"/>
    <w:rsid w:val="00902D3E"/>
    <w:rsid w:val="009062E6"/>
    <w:rsid w:val="00911BE5"/>
    <w:rsid w:val="00913C18"/>
    <w:rsid w:val="00913CA9"/>
    <w:rsid w:val="009145AE"/>
    <w:rsid w:val="009146CE"/>
    <w:rsid w:val="00914CA7"/>
    <w:rsid w:val="00915C3E"/>
    <w:rsid w:val="009161A8"/>
    <w:rsid w:val="00922894"/>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6A5E"/>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97D30"/>
    <w:rsid w:val="009A089C"/>
    <w:rsid w:val="009A118E"/>
    <w:rsid w:val="009A21CD"/>
    <w:rsid w:val="009A278C"/>
    <w:rsid w:val="009A2BC2"/>
    <w:rsid w:val="009A42C1"/>
    <w:rsid w:val="009A5429"/>
    <w:rsid w:val="009A72AD"/>
    <w:rsid w:val="009B09E0"/>
    <w:rsid w:val="009B0BC5"/>
    <w:rsid w:val="009B1247"/>
    <w:rsid w:val="009B5B79"/>
    <w:rsid w:val="009B6029"/>
    <w:rsid w:val="009B6971"/>
    <w:rsid w:val="009C0154"/>
    <w:rsid w:val="009C27F1"/>
    <w:rsid w:val="009C3152"/>
    <w:rsid w:val="009C3257"/>
    <w:rsid w:val="009C4CFA"/>
    <w:rsid w:val="009C5070"/>
    <w:rsid w:val="009D112C"/>
    <w:rsid w:val="009D1385"/>
    <w:rsid w:val="009D47FA"/>
    <w:rsid w:val="009D4C5B"/>
    <w:rsid w:val="009D4F94"/>
    <w:rsid w:val="009D50D2"/>
    <w:rsid w:val="009D6BCA"/>
    <w:rsid w:val="009D7338"/>
    <w:rsid w:val="009D784A"/>
    <w:rsid w:val="009E0F62"/>
    <w:rsid w:val="009E4A58"/>
    <w:rsid w:val="009E5A2D"/>
    <w:rsid w:val="009E5AB2"/>
    <w:rsid w:val="009E6219"/>
    <w:rsid w:val="009F03B3"/>
    <w:rsid w:val="009F77ED"/>
    <w:rsid w:val="00A0096C"/>
    <w:rsid w:val="00A01757"/>
    <w:rsid w:val="00A028C0"/>
    <w:rsid w:val="00A02BAE"/>
    <w:rsid w:val="00A06A6B"/>
    <w:rsid w:val="00A07E47"/>
    <w:rsid w:val="00A11E6D"/>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BEF"/>
    <w:rsid w:val="00AE070A"/>
    <w:rsid w:val="00AE101C"/>
    <w:rsid w:val="00AE2A69"/>
    <w:rsid w:val="00AE37E5"/>
    <w:rsid w:val="00AE5EB4"/>
    <w:rsid w:val="00AF0C18"/>
    <w:rsid w:val="00AF47C5"/>
    <w:rsid w:val="00AF5398"/>
    <w:rsid w:val="00B029EF"/>
    <w:rsid w:val="00B049AF"/>
    <w:rsid w:val="00B07242"/>
    <w:rsid w:val="00B10534"/>
    <w:rsid w:val="00B113DB"/>
    <w:rsid w:val="00B11D8A"/>
    <w:rsid w:val="00B12981"/>
    <w:rsid w:val="00B147DD"/>
    <w:rsid w:val="00B156FD"/>
    <w:rsid w:val="00B21F61"/>
    <w:rsid w:val="00B261F1"/>
    <w:rsid w:val="00B265BC"/>
    <w:rsid w:val="00B277C2"/>
    <w:rsid w:val="00B31FB1"/>
    <w:rsid w:val="00B33952"/>
    <w:rsid w:val="00B33C5E"/>
    <w:rsid w:val="00B342F4"/>
    <w:rsid w:val="00B34369"/>
    <w:rsid w:val="00B34DC2"/>
    <w:rsid w:val="00B378E5"/>
    <w:rsid w:val="00B4346D"/>
    <w:rsid w:val="00B43B49"/>
    <w:rsid w:val="00B440F4"/>
    <w:rsid w:val="00B44566"/>
    <w:rsid w:val="00B447A5"/>
    <w:rsid w:val="00B4654C"/>
    <w:rsid w:val="00B47293"/>
    <w:rsid w:val="00B50E50"/>
    <w:rsid w:val="00B52120"/>
    <w:rsid w:val="00B54ABC"/>
    <w:rsid w:val="00B56FBE"/>
    <w:rsid w:val="00B60ACF"/>
    <w:rsid w:val="00B62B58"/>
    <w:rsid w:val="00B65149"/>
    <w:rsid w:val="00B66567"/>
    <w:rsid w:val="00B6657E"/>
    <w:rsid w:val="00B66F52"/>
    <w:rsid w:val="00B66FE5"/>
    <w:rsid w:val="00B72880"/>
    <w:rsid w:val="00B7429D"/>
    <w:rsid w:val="00B758BF"/>
    <w:rsid w:val="00B77EC8"/>
    <w:rsid w:val="00B827A6"/>
    <w:rsid w:val="00B831CE"/>
    <w:rsid w:val="00B84098"/>
    <w:rsid w:val="00B86677"/>
    <w:rsid w:val="00B87131"/>
    <w:rsid w:val="00B939B1"/>
    <w:rsid w:val="00B95869"/>
    <w:rsid w:val="00B96D40"/>
    <w:rsid w:val="00B97386"/>
    <w:rsid w:val="00BA263B"/>
    <w:rsid w:val="00BA3760"/>
    <w:rsid w:val="00BA42B2"/>
    <w:rsid w:val="00BA58D4"/>
    <w:rsid w:val="00BA5B9E"/>
    <w:rsid w:val="00BA7C9A"/>
    <w:rsid w:val="00BB5F8F"/>
    <w:rsid w:val="00BB657A"/>
    <w:rsid w:val="00BC1A4E"/>
    <w:rsid w:val="00BC3F8E"/>
    <w:rsid w:val="00BC5DC7"/>
    <w:rsid w:val="00BC6B8B"/>
    <w:rsid w:val="00BC73D8"/>
    <w:rsid w:val="00BD52D7"/>
    <w:rsid w:val="00BD5AD2"/>
    <w:rsid w:val="00BD6E18"/>
    <w:rsid w:val="00BE22F3"/>
    <w:rsid w:val="00BE4086"/>
    <w:rsid w:val="00BE5530"/>
    <w:rsid w:val="00BE5B52"/>
    <w:rsid w:val="00BE70E3"/>
    <w:rsid w:val="00BE7B8D"/>
    <w:rsid w:val="00BF0993"/>
    <w:rsid w:val="00BF10A9"/>
    <w:rsid w:val="00BF1703"/>
    <w:rsid w:val="00BF231C"/>
    <w:rsid w:val="00BF51E5"/>
    <w:rsid w:val="00BF74A6"/>
    <w:rsid w:val="00C013AD"/>
    <w:rsid w:val="00C0428E"/>
    <w:rsid w:val="00C04904"/>
    <w:rsid w:val="00C056B3"/>
    <w:rsid w:val="00C103E5"/>
    <w:rsid w:val="00C13319"/>
    <w:rsid w:val="00C13EE9"/>
    <w:rsid w:val="00C14DDA"/>
    <w:rsid w:val="00C21540"/>
    <w:rsid w:val="00C21906"/>
    <w:rsid w:val="00C21BFA"/>
    <w:rsid w:val="00C2217F"/>
    <w:rsid w:val="00C24C8D"/>
    <w:rsid w:val="00C25FE2"/>
    <w:rsid w:val="00C26B53"/>
    <w:rsid w:val="00C279B2"/>
    <w:rsid w:val="00C33E50"/>
    <w:rsid w:val="00C34C20"/>
    <w:rsid w:val="00C350AD"/>
    <w:rsid w:val="00C35A3E"/>
    <w:rsid w:val="00C42130"/>
    <w:rsid w:val="00C423A4"/>
    <w:rsid w:val="00C423E3"/>
    <w:rsid w:val="00C44BF5"/>
    <w:rsid w:val="00C521D6"/>
    <w:rsid w:val="00C54D5F"/>
    <w:rsid w:val="00C55232"/>
    <w:rsid w:val="00C553A4"/>
    <w:rsid w:val="00C55A06"/>
    <w:rsid w:val="00C55D03"/>
    <w:rsid w:val="00C601BC"/>
    <w:rsid w:val="00C6329F"/>
    <w:rsid w:val="00C63340"/>
    <w:rsid w:val="00C643F9"/>
    <w:rsid w:val="00C64E95"/>
    <w:rsid w:val="00C71372"/>
    <w:rsid w:val="00C72410"/>
    <w:rsid w:val="00C7287F"/>
    <w:rsid w:val="00C77F4E"/>
    <w:rsid w:val="00C80CB8"/>
    <w:rsid w:val="00C819F8"/>
    <w:rsid w:val="00C8248C"/>
    <w:rsid w:val="00C84E33"/>
    <w:rsid w:val="00C8563D"/>
    <w:rsid w:val="00C861F4"/>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EC9"/>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4124"/>
    <w:rsid w:val="00D25E37"/>
    <w:rsid w:val="00D2661A"/>
    <w:rsid w:val="00D27582"/>
    <w:rsid w:val="00D27EC4"/>
    <w:rsid w:val="00D32719"/>
    <w:rsid w:val="00D33333"/>
    <w:rsid w:val="00D352A2"/>
    <w:rsid w:val="00D4162B"/>
    <w:rsid w:val="00D43A7A"/>
    <w:rsid w:val="00D4514F"/>
    <w:rsid w:val="00D451E2"/>
    <w:rsid w:val="00D45E89"/>
    <w:rsid w:val="00D45E8D"/>
    <w:rsid w:val="00D466AE"/>
    <w:rsid w:val="00D4734F"/>
    <w:rsid w:val="00D51BF3"/>
    <w:rsid w:val="00D66846"/>
    <w:rsid w:val="00D675FB"/>
    <w:rsid w:val="00D71F25"/>
    <w:rsid w:val="00D72A9C"/>
    <w:rsid w:val="00D76FDE"/>
    <w:rsid w:val="00D77031"/>
    <w:rsid w:val="00D84941"/>
    <w:rsid w:val="00D84FA1"/>
    <w:rsid w:val="00D851F0"/>
    <w:rsid w:val="00D86DB7"/>
    <w:rsid w:val="00D87BF5"/>
    <w:rsid w:val="00D90721"/>
    <w:rsid w:val="00D912BB"/>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9CC"/>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971"/>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46131"/>
    <w:rsid w:val="00E502C1"/>
    <w:rsid w:val="00E502DD"/>
    <w:rsid w:val="00E50D3A"/>
    <w:rsid w:val="00E51387"/>
    <w:rsid w:val="00E51E68"/>
    <w:rsid w:val="00E52EFD"/>
    <w:rsid w:val="00E5408A"/>
    <w:rsid w:val="00E56800"/>
    <w:rsid w:val="00E60C63"/>
    <w:rsid w:val="00E62FF9"/>
    <w:rsid w:val="00E635D6"/>
    <w:rsid w:val="00E639BC"/>
    <w:rsid w:val="00E664CC"/>
    <w:rsid w:val="00E66B5E"/>
    <w:rsid w:val="00E70388"/>
    <w:rsid w:val="00E70F92"/>
    <w:rsid w:val="00E74313"/>
    <w:rsid w:val="00E74C54"/>
    <w:rsid w:val="00E77133"/>
    <w:rsid w:val="00E77A03"/>
    <w:rsid w:val="00E822E8"/>
    <w:rsid w:val="00E82554"/>
    <w:rsid w:val="00E82606"/>
    <w:rsid w:val="00E831C1"/>
    <w:rsid w:val="00E846C8"/>
    <w:rsid w:val="00E84957"/>
    <w:rsid w:val="00E84A55"/>
    <w:rsid w:val="00E85835"/>
    <w:rsid w:val="00E85BFF"/>
    <w:rsid w:val="00E86207"/>
    <w:rsid w:val="00E879C2"/>
    <w:rsid w:val="00E90391"/>
    <w:rsid w:val="00E906C2"/>
    <w:rsid w:val="00E9311F"/>
    <w:rsid w:val="00E934D1"/>
    <w:rsid w:val="00E94AF0"/>
    <w:rsid w:val="00E95D13"/>
    <w:rsid w:val="00E95DD3"/>
    <w:rsid w:val="00E969D5"/>
    <w:rsid w:val="00EA3CB8"/>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4BF3"/>
    <w:rsid w:val="00EF7E72"/>
    <w:rsid w:val="00F06D37"/>
    <w:rsid w:val="00F07B9D"/>
    <w:rsid w:val="00F11586"/>
    <w:rsid w:val="00F1183B"/>
    <w:rsid w:val="00F11C9F"/>
    <w:rsid w:val="00F12263"/>
    <w:rsid w:val="00F1409D"/>
    <w:rsid w:val="00F14214"/>
    <w:rsid w:val="00F157A9"/>
    <w:rsid w:val="00F16F00"/>
    <w:rsid w:val="00F25BB6"/>
    <w:rsid w:val="00F2646D"/>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0C56"/>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47"/>
    <w:rsid w:val="00FB45F1"/>
    <w:rsid w:val="00FB4A72"/>
    <w:rsid w:val="00FB54E8"/>
    <w:rsid w:val="00FB7054"/>
    <w:rsid w:val="00FC17B7"/>
    <w:rsid w:val="00FC2CB7"/>
    <w:rsid w:val="00FC4090"/>
    <w:rsid w:val="00FC55B4"/>
    <w:rsid w:val="00FD00E6"/>
    <w:rsid w:val="00FD09A1"/>
    <w:rsid w:val="00FD2A7C"/>
    <w:rsid w:val="00FD59EB"/>
    <w:rsid w:val="00FD7299"/>
    <w:rsid w:val="00FE0565"/>
    <w:rsid w:val="00FE1FBE"/>
    <w:rsid w:val="00FE3901"/>
    <w:rsid w:val="00FE39D3"/>
    <w:rsid w:val="00FE4BCE"/>
    <w:rsid w:val="00FE54AE"/>
    <w:rsid w:val="00FE576A"/>
    <w:rsid w:val="00FE7E79"/>
    <w:rsid w:val="00FF3E7D"/>
    <w:rsid w:val="00FF5B99"/>
    <w:rsid w:val="00FF730C"/>
    <w:rsid w:val="00FF73F4"/>
    <w:rsid w:val="00FF7CE4"/>
    <w:rsid w:val="00FF7E39"/>
    <w:rsid w:val="012515C4"/>
    <w:rsid w:val="01325A8F"/>
    <w:rsid w:val="014A2DD9"/>
    <w:rsid w:val="018856AF"/>
    <w:rsid w:val="01AE15BA"/>
    <w:rsid w:val="01B82438"/>
    <w:rsid w:val="01EE5E5A"/>
    <w:rsid w:val="01F1594A"/>
    <w:rsid w:val="02105DD0"/>
    <w:rsid w:val="022A49B8"/>
    <w:rsid w:val="02353A89"/>
    <w:rsid w:val="02571E41"/>
    <w:rsid w:val="026C6D7F"/>
    <w:rsid w:val="026E0D49"/>
    <w:rsid w:val="029562D6"/>
    <w:rsid w:val="02E5725D"/>
    <w:rsid w:val="030E7E36"/>
    <w:rsid w:val="037B196F"/>
    <w:rsid w:val="03EE0393"/>
    <w:rsid w:val="041D2A27"/>
    <w:rsid w:val="0438160E"/>
    <w:rsid w:val="043A5387"/>
    <w:rsid w:val="04437E88"/>
    <w:rsid w:val="04BF763A"/>
    <w:rsid w:val="04EF43C3"/>
    <w:rsid w:val="05145BD8"/>
    <w:rsid w:val="052027CE"/>
    <w:rsid w:val="05571F68"/>
    <w:rsid w:val="05834B0B"/>
    <w:rsid w:val="05BF1CF7"/>
    <w:rsid w:val="05E80E12"/>
    <w:rsid w:val="063876A4"/>
    <w:rsid w:val="067A7CBC"/>
    <w:rsid w:val="070954E4"/>
    <w:rsid w:val="071A4FFB"/>
    <w:rsid w:val="0728596A"/>
    <w:rsid w:val="07524795"/>
    <w:rsid w:val="076D7821"/>
    <w:rsid w:val="078F7797"/>
    <w:rsid w:val="07950B26"/>
    <w:rsid w:val="07DE071F"/>
    <w:rsid w:val="07E6312F"/>
    <w:rsid w:val="080F6B2A"/>
    <w:rsid w:val="08204893"/>
    <w:rsid w:val="08624EAC"/>
    <w:rsid w:val="088A7F5F"/>
    <w:rsid w:val="08962DA7"/>
    <w:rsid w:val="08A92ADB"/>
    <w:rsid w:val="08B17BE1"/>
    <w:rsid w:val="08BF40AC"/>
    <w:rsid w:val="08C40BAE"/>
    <w:rsid w:val="08DD09D6"/>
    <w:rsid w:val="08E7715F"/>
    <w:rsid w:val="092108C3"/>
    <w:rsid w:val="093F51ED"/>
    <w:rsid w:val="0969226A"/>
    <w:rsid w:val="09970B85"/>
    <w:rsid w:val="099A0675"/>
    <w:rsid w:val="09CB4CD3"/>
    <w:rsid w:val="09F14739"/>
    <w:rsid w:val="0A206DCD"/>
    <w:rsid w:val="0A6842D0"/>
    <w:rsid w:val="0A8A06EA"/>
    <w:rsid w:val="0AA572D2"/>
    <w:rsid w:val="0AA95014"/>
    <w:rsid w:val="0AD61B81"/>
    <w:rsid w:val="0AF10769"/>
    <w:rsid w:val="0AFF2E86"/>
    <w:rsid w:val="0B3F3282"/>
    <w:rsid w:val="0B64718D"/>
    <w:rsid w:val="0BD04822"/>
    <w:rsid w:val="0C0A4976"/>
    <w:rsid w:val="0C1E558E"/>
    <w:rsid w:val="0C430B50"/>
    <w:rsid w:val="0C7E7DDA"/>
    <w:rsid w:val="0C807FF6"/>
    <w:rsid w:val="0C895AED"/>
    <w:rsid w:val="0CB3147D"/>
    <w:rsid w:val="0CB8153E"/>
    <w:rsid w:val="0D295F98"/>
    <w:rsid w:val="0D2A1D10"/>
    <w:rsid w:val="0D611BD6"/>
    <w:rsid w:val="0D8B6C53"/>
    <w:rsid w:val="0D9C49BC"/>
    <w:rsid w:val="0DDA1988"/>
    <w:rsid w:val="0DF2282E"/>
    <w:rsid w:val="0DFF4F4B"/>
    <w:rsid w:val="0E1B7FD7"/>
    <w:rsid w:val="0E364E11"/>
    <w:rsid w:val="0E8042DE"/>
    <w:rsid w:val="0EEE7499"/>
    <w:rsid w:val="0EFF16A6"/>
    <w:rsid w:val="0F0071CD"/>
    <w:rsid w:val="0F1B7B63"/>
    <w:rsid w:val="0F73174D"/>
    <w:rsid w:val="1057106E"/>
    <w:rsid w:val="10611EED"/>
    <w:rsid w:val="1068327B"/>
    <w:rsid w:val="106D0892"/>
    <w:rsid w:val="109202F8"/>
    <w:rsid w:val="10DB1C9F"/>
    <w:rsid w:val="10F93ED3"/>
    <w:rsid w:val="111B6540"/>
    <w:rsid w:val="1158509E"/>
    <w:rsid w:val="116E041E"/>
    <w:rsid w:val="119803B4"/>
    <w:rsid w:val="11AE1162"/>
    <w:rsid w:val="11BF6ECB"/>
    <w:rsid w:val="11D81D3B"/>
    <w:rsid w:val="11DC5CCF"/>
    <w:rsid w:val="11E72D74"/>
    <w:rsid w:val="125A6BF4"/>
    <w:rsid w:val="12641821"/>
    <w:rsid w:val="12E34E3B"/>
    <w:rsid w:val="132A2A6A"/>
    <w:rsid w:val="133236CD"/>
    <w:rsid w:val="13453400"/>
    <w:rsid w:val="13781A27"/>
    <w:rsid w:val="143811B7"/>
    <w:rsid w:val="14700951"/>
    <w:rsid w:val="148166BA"/>
    <w:rsid w:val="148443FC"/>
    <w:rsid w:val="14887A48"/>
    <w:rsid w:val="14952165"/>
    <w:rsid w:val="14D233B9"/>
    <w:rsid w:val="150D2643"/>
    <w:rsid w:val="150D619F"/>
    <w:rsid w:val="15192D96"/>
    <w:rsid w:val="151B6B0E"/>
    <w:rsid w:val="1525173B"/>
    <w:rsid w:val="157B75AD"/>
    <w:rsid w:val="159A3ED7"/>
    <w:rsid w:val="1618304E"/>
    <w:rsid w:val="16526560"/>
    <w:rsid w:val="16906F14"/>
    <w:rsid w:val="16AF39B2"/>
    <w:rsid w:val="16E55626"/>
    <w:rsid w:val="17123F41"/>
    <w:rsid w:val="171B2DF6"/>
    <w:rsid w:val="17AC7EF2"/>
    <w:rsid w:val="17C57205"/>
    <w:rsid w:val="17F11DA8"/>
    <w:rsid w:val="17F81389"/>
    <w:rsid w:val="183323C1"/>
    <w:rsid w:val="1876405C"/>
    <w:rsid w:val="18891FE1"/>
    <w:rsid w:val="18AB01A9"/>
    <w:rsid w:val="18B21538"/>
    <w:rsid w:val="18DC4807"/>
    <w:rsid w:val="18E35B95"/>
    <w:rsid w:val="18E90CD1"/>
    <w:rsid w:val="195645B9"/>
    <w:rsid w:val="19A35324"/>
    <w:rsid w:val="1A14173E"/>
    <w:rsid w:val="1A5959E3"/>
    <w:rsid w:val="1A6920CA"/>
    <w:rsid w:val="1AC13E77"/>
    <w:rsid w:val="1AC92B69"/>
    <w:rsid w:val="1ADF05DE"/>
    <w:rsid w:val="1B1C538E"/>
    <w:rsid w:val="1B28788F"/>
    <w:rsid w:val="1B522B5E"/>
    <w:rsid w:val="1B5C1C2F"/>
    <w:rsid w:val="1B724FAE"/>
    <w:rsid w:val="1B80591D"/>
    <w:rsid w:val="1BE85270"/>
    <w:rsid w:val="1BEC4D61"/>
    <w:rsid w:val="1BEC6B0F"/>
    <w:rsid w:val="1BFD6F6E"/>
    <w:rsid w:val="1C3D380E"/>
    <w:rsid w:val="1C4A5F2B"/>
    <w:rsid w:val="1C9378D2"/>
    <w:rsid w:val="1C984EE8"/>
    <w:rsid w:val="1CAB69CA"/>
    <w:rsid w:val="1CC45CDD"/>
    <w:rsid w:val="1D0600A4"/>
    <w:rsid w:val="1D392227"/>
    <w:rsid w:val="1D85546D"/>
    <w:rsid w:val="1DD41F50"/>
    <w:rsid w:val="1E227A39"/>
    <w:rsid w:val="1E48649A"/>
    <w:rsid w:val="1E4A0464"/>
    <w:rsid w:val="1EA55764"/>
    <w:rsid w:val="1EF83A1C"/>
    <w:rsid w:val="1F7A6B27"/>
    <w:rsid w:val="1F833C2E"/>
    <w:rsid w:val="1FEF3071"/>
    <w:rsid w:val="206375BB"/>
    <w:rsid w:val="20A53730"/>
    <w:rsid w:val="20AE6A88"/>
    <w:rsid w:val="20EF0E4F"/>
    <w:rsid w:val="20F65F85"/>
    <w:rsid w:val="210466A8"/>
    <w:rsid w:val="213B4094"/>
    <w:rsid w:val="21423675"/>
    <w:rsid w:val="215A09BE"/>
    <w:rsid w:val="21EF7359"/>
    <w:rsid w:val="222334A6"/>
    <w:rsid w:val="2254540E"/>
    <w:rsid w:val="22761828"/>
    <w:rsid w:val="227B0BEC"/>
    <w:rsid w:val="22D12F02"/>
    <w:rsid w:val="22D447A0"/>
    <w:rsid w:val="22D84291"/>
    <w:rsid w:val="22F32E79"/>
    <w:rsid w:val="230213B5"/>
    <w:rsid w:val="23052BAC"/>
    <w:rsid w:val="2322550C"/>
    <w:rsid w:val="236478D2"/>
    <w:rsid w:val="238166D6"/>
    <w:rsid w:val="239C706C"/>
    <w:rsid w:val="23A221A9"/>
    <w:rsid w:val="23AD74CB"/>
    <w:rsid w:val="23B32608"/>
    <w:rsid w:val="23DB1C0A"/>
    <w:rsid w:val="241A2687"/>
    <w:rsid w:val="24255901"/>
    <w:rsid w:val="24303C58"/>
    <w:rsid w:val="2435126F"/>
    <w:rsid w:val="24653902"/>
    <w:rsid w:val="24747FE9"/>
    <w:rsid w:val="247955FF"/>
    <w:rsid w:val="248144B4"/>
    <w:rsid w:val="24C26FA6"/>
    <w:rsid w:val="24DE4DA2"/>
    <w:rsid w:val="250749B9"/>
    <w:rsid w:val="253F23A5"/>
    <w:rsid w:val="258E50DA"/>
    <w:rsid w:val="25AC730F"/>
    <w:rsid w:val="25DC5E46"/>
    <w:rsid w:val="25E20F82"/>
    <w:rsid w:val="25F3318F"/>
    <w:rsid w:val="26090D15"/>
    <w:rsid w:val="2610789E"/>
    <w:rsid w:val="26154EB4"/>
    <w:rsid w:val="26170C2C"/>
    <w:rsid w:val="265A320F"/>
    <w:rsid w:val="267E6EFD"/>
    <w:rsid w:val="26EA4592"/>
    <w:rsid w:val="27127645"/>
    <w:rsid w:val="271E2638"/>
    <w:rsid w:val="272E26D1"/>
    <w:rsid w:val="278A18D2"/>
    <w:rsid w:val="278F0C96"/>
    <w:rsid w:val="27CC1EEA"/>
    <w:rsid w:val="27E70AD2"/>
    <w:rsid w:val="28186EDD"/>
    <w:rsid w:val="28373807"/>
    <w:rsid w:val="286914E7"/>
    <w:rsid w:val="288051AE"/>
    <w:rsid w:val="28C11323"/>
    <w:rsid w:val="28F15F1E"/>
    <w:rsid w:val="28F9286B"/>
    <w:rsid w:val="29003BF9"/>
    <w:rsid w:val="293935AF"/>
    <w:rsid w:val="29413E81"/>
    <w:rsid w:val="295959FF"/>
    <w:rsid w:val="296A782E"/>
    <w:rsid w:val="29915199"/>
    <w:rsid w:val="29CE5AA6"/>
    <w:rsid w:val="29DB01C2"/>
    <w:rsid w:val="29EE439A"/>
    <w:rsid w:val="29F04FFF"/>
    <w:rsid w:val="2A0616E3"/>
    <w:rsid w:val="2A225DF1"/>
    <w:rsid w:val="2A286AF0"/>
    <w:rsid w:val="2A992557"/>
    <w:rsid w:val="2A9F7442"/>
    <w:rsid w:val="2ADB491E"/>
    <w:rsid w:val="2B1E2A5D"/>
    <w:rsid w:val="2B25203D"/>
    <w:rsid w:val="2B726905"/>
    <w:rsid w:val="2BF441D1"/>
    <w:rsid w:val="2C163734"/>
    <w:rsid w:val="2C7E7C57"/>
    <w:rsid w:val="2C8D1C48"/>
    <w:rsid w:val="2C8F7B53"/>
    <w:rsid w:val="2CEB696E"/>
    <w:rsid w:val="2CED6B8B"/>
    <w:rsid w:val="2CEF46B1"/>
    <w:rsid w:val="2CF27CFD"/>
    <w:rsid w:val="2D016192"/>
    <w:rsid w:val="2D173C07"/>
    <w:rsid w:val="2D430559"/>
    <w:rsid w:val="2D556F96"/>
    <w:rsid w:val="2D945258"/>
    <w:rsid w:val="2DB651CE"/>
    <w:rsid w:val="2DB66F7C"/>
    <w:rsid w:val="2DBD655D"/>
    <w:rsid w:val="2DD9710F"/>
    <w:rsid w:val="2DE0049D"/>
    <w:rsid w:val="2DE0224B"/>
    <w:rsid w:val="2E861045"/>
    <w:rsid w:val="2EB216C5"/>
    <w:rsid w:val="2EB23BE8"/>
    <w:rsid w:val="2EC76F67"/>
    <w:rsid w:val="2EE144CD"/>
    <w:rsid w:val="2EFA10EB"/>
    <w:rsid w:val="2F395FE2"/>
    <w:rsid w:val="2F3A3BDD"/>
    <w:rsid w:val="2F4862FA"/>
    <w:rsid w:val="2F9257C7"/>
    <w:rsid w:val="2FB83480"/>
    <w:rsid w:val="2FD23E16"/>
    <w:rsid w:val="2FE75B13"/>
    <w:rsid w:val="304B42F4"/>
    <w:rsid w:val="304C3BC8"/>
    <w:rsid w:val="305B02AF"/>
    <w:rsid w:val="3062163D"/>
    <w:rsid w:val="30D047F9"/>
    <w:rsid w:val="30F67062"/>
    <w:rsid w:val="30F85AFE"/>
    <w:rsid w:val="313F3A21"/>
    <w:rsid w:val="315F16D9"/>
    <w:rsid w:val="31F91B2E"/>
    <w:rsid w:val="32130E41"/>
    <w:rsid w:val="322F37A1"/>
    <w:rsid w:val="32A63A63"/>
    <w:rsid w:val="32AC3044"/>
    <w:rsid w:val="32DC56D7"/>
    <w:rsid w:val="32E75E2A"/>
    <w:rsid w:val="32EE540A"/>
    <w:rsid w:val="32FA3DAF"/>
    <w:rsid w:val="331D4A54"/>
    <w:rsid w:val="33490893"/>
    <w:rsid w:val="33857B1D"/>
    <w:rsid w:val="33923FE8"/>
    <w:rsid w:val="33D771D0"/>
    <w:rsid w:val="33E32A95"/>
    <w:rsid w:val="342804A8"/>
    <w:rsid w:val="345D2848"/>
    <w:rsid w:val="346A6D13"/>
    <w:rsid w:val="34A02734"/>
    <w:rsid w:val="34F767F8"/>
    <w:rsid w:val="35131158"/>
    <w:rsid w:val="35372D6D"/>
    <w:rsid w:val="353A41C2"/>
    <w:rsid w:val="3569521C"/>
    <w:rsid w:val="358D2CB9"/>
    <w:rsid w:val="35A16764"/>
    <w:rsid w:val="35A87AF3"/>
    <w:rsid w:val="35B013FB"/>
    <w:rsid w:val="35B50461"/>
    <w:rsid w:val="35D07049"/>
    <w:rsid w:val="36115C43"/>
    <w:rsid w:val="368C2F70"/>
    <w:rsid w:val="36987940"/>
    <w:rsid w:val="36B14785"/>
    <w:rsid w:val="36B50719"/>
    <w:rsid w:val="36C3270A"/>
    <w:rsid w:val="36D36DF1"/>
    <w:rsid w:val="36DF5796"/>
    <w:rsid w:val="370E607B"/>
    <w:rsid w:val="37305FF2"/>
    <w:rsid w:val="373F7FE3"/>
    <w:rsid w:val="375A12C0"/>
    <w:rsid w:val="376277A1"/>
    <w:rsid w:val="37863E63"/>
    <w:rsid w:val="379C71E3"/>
    <w:rsid w:val="37DE5A4E"/>
    <w:rsid w:val="38207E14"/>
    <w:rsid w:val="383A69FC"/>
    <w:rsid w:val="386A108F"/>
    <w:rsid w:val="388F0AF6"/>
    <w:rsid w:val="393618B9"/>
    <w:rsid w:val="393D3862"/>
    <w:rsid w:val="398B750F"/>
    <w:rsid w:val="39934616"/>
    <w:rsid w:val="39965EB4"/>
    <w:rsid w:val="39C649EB"/>
    <w:rsid w:val="39D215E2"/>
    <w:rsid w:val="3A0F6392"/>
    <w:rsid w:val="3A190FBF"/>
    <w:rsid w:val="3A944AE9"/>
    <w:rsid w:val="3A970136"/>
    <w:rsid w:val="3ACD1DA9"/>
    <w:rsid w:val="3ACE7FFB"/>
    <w:rsid w:val="3ACF62F1"/>
    <w:rsid w:val="3AE839B2"/>
    <w:rsid w:val="3B0F4170"/>
    <w:rsid w:val="3B351E28"/>
    <w:rsid w:val="3B381919"/>
    <w:rsid w:val="3B5878C5"/>
    <w:rsid w:val="3B934DA1"/>
    <w:rsid w:val="3BB07701"/>
    <w:rsid w:val="3BBD597A"/>
    <w:rsid w:val="3BBF5B96"/>
    <w:rsid w:val="3BF03FA1"/>
    <w:rsid w:val="3C4B742A"/>
    <w:rsid w:val="3C5A58BF"/>
    <w:rsid w:val="3C5C5193"/>
    <w:rsid w:val="3CAF79B9"/>
    <w:rsid w:val="3CB74ABF"/>
    <w:rsid w:val="3CDB07AE"/>
    <w:rsid w:val="3D033860"/>
    <w:rsid w:val="3D255ECD"/>
    <w:rsid w:val="3D2A34E3"/>
    <w:rsid w:val="3D453E79"/>
    <w:rsid w:val="3D711112"/>
    <w:rsid w:val="3D98044D"/>
    <w:rsid w:val="3E151A9D"/>
    <w:rsid w:val="3E263CAA"/>
    <w:rsid w:val="3E4405D4"/>
    <w:rsid w:val="3E75253C"/>
    <w:rsid w:val="3ECD4126"/>
    <w:rsid w:val="3ED454B4"/>
    <w:rsid w:val="3F253F62"/>
    <w:rsid w:val="3F3643C1"/>
    <w:rsid w:val="3F7E18C4"/>
    <w:rsid w:val="3FC25C55"/>
    <w:rsid w:val="3FDB2873"/>
    <w:rsid w:val="40A67324"/>
    <w:rsid w:val="40B530C4"/>
    <w:rsid w:val="40C854ED"/>
    <w:rsid w:val="40EA5463"/>
    <w:rsid w:val="4162149D"/>
    <w:rsid w:val="416845DA"/>
    <w:rsid w:val="418C651A"/>
    <w:rsid w:val="418D4040"/>
    <w:rsid w:val="41AF3FB7"/>
    <w:rsid w:val="41DB2FFE"/>
    <w:rsid w:val="42291FBB"/>
    <w:rsid w:val="42666D6B"/>
    <w:rsid w:val="428216CB"/>
    <w:rsid w:val="428C42F8"/>
    <w:rsid w:val="42F26851"/>
    <w:rsid w:val="42F70F0D"/>
    <w:rsid w:val="430B7913"/>
    <w:rsid w:val="43160791"/>
    <w:rsid w:val="438A6A89"/>
    <w:rsid w:val="43CC0E50"/>
    <w:rsid w:val="43E97C54"/>
    <w:rsid w:val="43F6411F"/>
    <w:rsid w:val="43F87E97"/>
    <w:rsid w:val="44250560"/>
    <w:rsid w:val="44384737"/>
    <w:rsid w:val="445552E9"/>
    <w:rsid w:val="44894F93"/>
    <w:rsid w:val="449C6A74"/>
    <w:rsid w:val="450D7972"/>
    <w:rsid w:val="4513485D"/>
    <w:rsid w:val="452F78E8"/>
    <w:rsid w:val="45343151"/>
    <w:rsid w:val="453A628D"/>
    <w:rsid w:val="4545710C"/>
    <w:rsid w:val="458614D2"/>
    <w:rsid w:val="45A55DFD"/>
    <w:rsid w:val="460F771A"/>
    <w:rsid w:val="466B16B2"/>
    <w:rsid w:val="467A1037"/>
    <w:rsid w:val="468B4FF2"/>
    <w:rsid w:val="47130AEF"/>
    <w:rsid w:val="471E5E67"/>
    <w:rsid w:val="47213261"/>
    <w:rsid w:val="473C62ED"/>
    <w:rsid w:val="47543636"/>
    <w:rsid w:val="476F5062"/>
    <w:rsid w:val="479016A2"/>
    <w:rsid w:val="47CD33E9"/>
    <w:rsid w:val="47F15329"/>
    <w:rsid w:val="47FE7A46"/>
    <w:rsid w:val="4812704D"/>
    <w:rsid w:val="483709D2"/>
    <w:rsid w:val="486C63AD"/>
    <w:rsid w:val="487F0B87"/>
    <w:rsid w:val="48981C49"/>
    <w:rsid w:val="48FF3A76"/>
    <w:rsid w:val="491F1A22"/>
    <w:rsid w:val="49247038"/>
    <w:rsid w:val="49303C2F"/>
    <w:rsid w:val="495711BC"/>
    <w:rsid w:val="496202BA"/>
    <w:rsid w:val="49B605D8"/>
    <w:rsid w:val="49DC5B65"/>
    <w:rsid w:val="49E07403"/>
    <w:rsid w:val="49EC224C"/>
    <w:rsid w:val="4A1B043B"/>
    <w:rsid w:val="4A273284"/>
    <w:rsid w:val="4A477482"/>
    <w:rsid w:val="4AB97C54"/>
    <w:rsid w:val="4AC960E9"/>
    <w:rsid w:val="4AD60754"/>
    <w:rsid w:val="4ADF76BB"/>
    <w:rsid w:val="4AFA2747"/>
    <w:rsid w:val="4B103D18"/>
    <w:rsid w:val="4B221C9D"/>
    <w:rsid w:val="4B3F63AB"/>
    <w:rsid w:val="4B62209A"/>
    <w:rsid w:val="4BA10E14"/>
    <w:rsid w:val="4BA97CC9"/>
    <w:rsid w:val="4BBC5C4E"/>
    <w:rsid w:val="4BEE392E"/>
    <w:rsid w:val="4C043151"/>
    <w:rsid w:val="4C101AF6"/>
    <w:rsid w:val="4C1635B0"/>
    <w:rsid w:val="4C235CCD"/>
    <w:rsid w:val="4C2F6420"/>
    <w:rsid w:val="4C465518"/>
    <w:rsid w:val="4C6F0F12"/>
    <w:rsid w:val="4CB829E3"/>
    <w:rsid w:val="4CE0596C"/>
    <w:rsid w:val="4D4D1254"/>
    <w:rsid w:val="4DC4528E"/>
    <w:rsid w:val="4E173610"/>
    <w:rsid w:val="4E393177"/>
    <w:rsid w:val="4E3A10AC"/>
    <w:rsid w:val="4E5C54C6"/>
    <w:rsid w:val="4E720846"/>
    <w:rsid w:val="4E7C3473"/>
    <w:rsid w:val="4E8113A6"/>
    <w:rsid w:val="4EC217CD"/>
    <w:rsid w:val="4EC42AA1"/>
    <w:rsid w:val="4F005E52"/>
    <w:rsid w:val="4F027E1C"/>
    <w:rsid w:val="4F1E452A"/>
    <w:rsid w:val="4F974A08"/>
    <w:rsid w:val="4F9A62A6"/>
    <w:rsid w:val="4FE237A9"/>
    <w:rsid w:val="4FFA4F97"/>
    <w:rsid w:val="50041972"/>
    <w:rsid w:val="50454464"/>
    <w:rsid w:val="506D5769"/>
    <w:rsid w:val="507460F2"/>
    <w:rsid w:val="50A82C45"/>
    <w:rsid w:val="50BB0282"/>
    <w:rsid w:val="50E81293"/>
    <w:rsid w:val="50F25C6E"/>
    <w:rsid w:val="512A365A"/>
    <w:rsid w:val="51361FFF"/>
    <w:rsid w:val="51363DAD"/>
    <w:rsid w:val="51937451"/>
    <w:rsid w:val="51DD06CC"/>
    <w:rsid w:val="51E14DA1"/>
    <w:rsid w:val="5212481A"/>
    <w:rsid w:val="52224331"/>
    <w:rsid w:val="522B4F1F"/>
    <w:rsid w:val="52412A09"/>
    <w:rsid w:val="527E3C5D"/>
    <w:rsid w:val="528A2602"/>
    <w:rsid w:val="52AA6800"/>
    <w:rsid w:val="530F6FAB"/>
    <w:rsid w:val="53185E60"/>
    <w:rsid w:val="53740BBC"/>
    <w:rsid w:val="53982AFD"/>
    <w:rsid w:val="53E73A84"/>
    <w:rsid w:val="54210D44"/>
    <w:rsid w:val="5429409D"/>
    <w:rsid w:val="54505185"/>
    <w:rsid w:val="54556C40"/>
    <w:rsid w:val="54624EB9"/>
    <w:rsid w:val="54774E08"/>
    <w:rsid w:val="54AD082A"/>
    <w:rsid w:val="54C6369A"/>
    <w:rsid w:val="553A1226"/>
    <w:rsid w:val="55EC35D4"/>
    <w:rsid w:val="56334D5F"/>
    <w:rsid w:val="567C6706"/>
    <w:rsid w:val="568B06F7"/>
    <w:rsid w:val="56D26326"/>
    <w:rsid w:val="57087F99"/>
    <w:rsid w:val="57837EE4"/>
    <w:rsid w:val="578E4942"/>
    <w:rsid w:val="57947A7F"/>
    <w:rsid w:val="57AE0B41"/>
    <w:rsid w:val="57B343A9"/>
    <w:rsid w:val="57C3262C"/>
    <w:rsid w:val="57CF2865"/>
    <w:rsid w:val="57D04F5B"/>
    <w:rsid w:val="57E5652D"/>
    <w:rsid w:val="58164938"/>
    <w:rsid w:val="581F37ED"/>
    <w:rsid w:val="583059FA"/>
    <w:rsid w:val="583155A2"/>
    <w:rsid w:val="58627B7D"/>
    <w:rsid w:val="5898534D"/>
    <w:rsid w:val="58B959EF"/>
    <w:rsid w:val="58E42340"/>
    <w:rsid w:val="590F70FC"/>
    <w:rsid w:val="59554FEC"/>
    <w:rsid w:val="5975743C"/>
    <w:rsid w:val="597933D0"/>
    <w:rsid w:val="59A0095D"/>
    <w:rsid w:val="59CE07A9"/>
    <w:rsid w:val="59D6612D"/>
    <w:rsid w:val="5A1804F3"/>
    <w:rsid w:val="5A2E41BB"/>
    <w:rsid w:val="5A3115B5"/>
    <w:rsid w:val="5A3572F7"/>
    <w:rsid w:val="5A3D61AC"/>
    <w:rsid w:val="5A9B1124"/>
    <w:rsid w:val="5AA71877"/>
    <w:rsid w:val="5AC93EE4"/>
    <w:rsid w:val="5AED7BD2"/>
    <w:rsid w:val="5AFE3B8D"/>
    <w:rsid w:val="5B323837"/>
    <w:rsid w:val="5B547C51"/>
    <w:rsid w:val="5BA30291"/>
    <w:rsid w:val="5BDC1BC4"/>
    <w:rsid w:val="5C190553"/>
    <w:rsid w:val="5C5F065B"/>
    <w:rsid w:val="5C814A76"/>
    <w:rsid w:val="5CCB3F43"/>
    <w:rsid w:val="5D213B63"/>
    <w:rsid w:val="5D467A6D"/>
    <w:rsid w:val="5D9205BD"/>
    <w:rsid w:val="5DD60DF1"/>
    <w:rsid w:val="5DE51034"/>
    <w:rsid w:val="5DEC23C3"/>
    <w:rsid w:val="5E596525"/>
    <w:rsid w:val="5E9F5687"/>
    <w:rsid w:val="5EAA5DDA"/>
    <w:rsid w:val="5EDF3CD6"/>
    <w:rsid w:val="5F2762FF"/>
    <w:rsid w:val="5F9D61D9"/>
    <w:rsid w:val="5FAF36A8"/>
    <w:rsid w:val="5FC1162D"/>
    <w:rsid w:val="5FF27A39"/>
    <w:rsid w:val="603242D9"/>
    <w:rsid w:val="60343BAD"/>
    <w:rsid w:val="60457B68"/>
    <w:rsid w:val="605E6E7C"/>
    <w:rsid w:val="60AA0313"/>
    <w:rsid w:val="60C43183"/>
    <w:rsid w:val="61446072"/>
    <w:rsid w:val="61774699"/>
    <w:rsid w:val="61B431F8"/>
    <w:rsid w:val="61C96577"/>
    <w:rsid w:val="624B3430"/>
    <w:rsid w:val="62586279"/>
    <w:rsid w:val="626562A0"/>
    <w:rsid w:val="62856942"/>
    <w:rsid w:val="62A72D5C"/>
    <w:rsid w:val="62CA6A4B"/>
    <w:rsid w:val="62D33B51"/>
    <w:rsid w:val="62DF24F6"/>
    <w:rsid w:val="62F835B8"/>
    <w:rsid w:val="632919C3"/>
    <w:rsid w:val="63434F6B"/>
    <w:rsid w:val="636A0DA9"/>
    <w:rsid w:val="636D7B9D"/>
    <w:rsid w:val="63D538F9"/>
    <w:rsid w:val="64410F8F"/>
    <w:rsid w:val="647E4A19"/>
    <w:rsid w:val="64B96D77"/>
    <w:rsid w:val="654C3747"/>
    <w:rsid w:val="65680361"/>
    <w:rsid w:val="65BF660F"/>
    <w:rsid w:val="65F938CF"/>
    <w:rsid w:val="660758C0"/>
    <w:rsid w:val="66187ACD"/>
    <w:rsid w:val="662D17CA"/>
    <w:rsid w:val="663A3EE7"/>
    <w:rsid w:val="66A82BFF"/>
    <w:rsid w:val="670342D9"/>
    <w:rsid w:val="6751773B"/>
    <w:rsid w:val="676B07FC"/>
    <w:rsid w:val="6773320D"/>
    <w:rsid w:val="67BD6B7E"/>
    <w:rsid w:val="67D839B8"/>
    <w:rsid w:val="67F87A0A"/>
    <w:rsid w:val="68106CAE"/>
    <w:rsid w:val="684E77D6"/>
    <w:rsid w:val="68757459"/>
    <w:rsid w:val="687F5BE1"/>
    <w:rsid w:val="688D02FE"/>
    <w:rsid w:val="68993147"/>
    <w:rsid w:val="68D45F2D"/>
    <w:rsid w:val="68DC1286"/>
    <w:rsid w:val="69456E2B"/>
    <w:rsid w:val="69472BA3"/>
    <w:rsid w:val="694A2693"/>
    <w:rsid w:val="69592121"/>
    <w:rsid w:val="69B55D5F"/>
    <w:rsid w:val="69F66377"/>
    <w:rsid w:val="6A1862EE"/>
    <w:rsid w:val="6A7C4ACE"/>
    <w:rsid w:val="6A7E0847"/>
    <w:rsid w:val="6AB204F0"/>
    <w:rsid w:val="6AC124E1"/>
    <w:rsid w:val="6B0A032C"/>
    <w:rsid w:val="6B0C5E52"/>
    <w:rsid w:val="6B4849B1"/>
    <w:rsid w:val="6B735ED1"/>
    <w:rsid w:val="6B7B4D86"/>
    <w:rsid w:val="6BB65DBE"/>
    <w:rsid w:val="6C382FE2"/>
    <w:rsid w:val="6C496C32"/>
    <w:rsid w:val="6C4B4758"/>
    <w:rsid w:val="6C5F6456"/>
    <w:rsid w:val="6C7D068A"/>
    <w:rsid w:val="6C7D68DC"/>
    <w:rsid w:val="6C8934D3"/>
    <w:rsid w:val="6CB22A29"/>
    <w:rsid w:val="6CC051DC"/>
    <w:rsid w:val="6CCB7647"/>
    <w:rsid w:val="6D4F0278"/>
    <w:rsid w:val="6D875C64"/>
    <w:rsid w:val="6D8F2D6B"/>
    <w:rsid w:val="6DAE1443"/>
    <w:rsid w:val="6DB12CE1"/>
    <w:rsid w:val="6E1B63AC"/>
    <w:rsid w:val="6E337B9A"/>
    <w:rsid w:val="6E361438"/>
    <w:rsid w:val="6E867CCA"/>
    <w:rsid w:val="6E900B48"/>
    <w:rsid w:val="6EAB3BD4"/>
    <w:rsid w:val="6ECD3B4B"/>
    <w:rsid w:val="6ED8429D"/>
    <w:rsid w:val="6EDC48A6"/>
    <w:rsid w:val="6EE3336E"/>
    <w:rsid w:val="6F12155D"/>
    <w:rsid w:val="6F2A2D4B"/>
    <w:rsid w:val="6F7A7103"/>
    <w:rsid w:val="70307176"/>
    <w:rsid w:val="703B0F88"/>
    <w:rsid w:val="70902438"/>
    <w:rsid w:val="70AB7EBB"/>
    <w:rsid w:val="7130216F"/>
    <w:rsid w:val="715440AF"/>
    <w:rsid w:val="71662034"/>
    <w:rsid w:val="71A30B93"/>
    <w:rsid w:val="71BE777B"/>
    <w:rsid w:val="72035AD5"/>
    <w:rsid w:val="722021E3"/>
    <w:rsid w:val="72231CD3"/>
    <w:rsid w:val="722515A8"/>
    <w:rsid w:val="722F0678"/>
    <w:rsid w:val="72330169"/>
    <w:rsid w:val="72760055"/>
    <w:rsid w:val="728551B0"/>
    <w:rsid w:val="72BB3CBA"/>
    <w:rsid w:val="72F71196"/>
    <w:rsid w:val="730A72B6"/>
    <w:rsid w:val="73214465"/>
    <w:rsid w:val="73267CCD"/>
    <w:rsid w:val="7329331A"/>
    <w:rsid w:val="73357F10"/>
    <w:rsid w:val="738A025C"/>
    <w:rsid w:val="738B5D82"/>
    <w:rsid w:val="740F0761"/>
    <w:rsid w:val="7416389E"/>
    <w:rsid w:val="74341F76"/>
    <w:rsid w:val="7460720F"/>
    <w:rsid w:val="746C7962"/>
    <w:rsid w:val="74901BA1"/>
    <w:rsid w:val="74956EB9"/>
    <w:rsid w:val="74A40EAA"/>
    <w:rsid w:val="74C94303"/>
    <w:rsid w:val="751C3136"/>
    <w:rsid w:val="7524023C"/>
    <w:rsid w:val="75365188"/>
    <w:rsid w:val="753F5076"/>
    <w:rsid w:val="75662603"/>
    <w:rsid w:val="75852A91"/>
    <w:rsid w:val="75C630A2"/>
    <w:rsid w:val="75D21A46"/>
    <w:rsid w:val="75E023B5"/>
    <w:rsid w:val="76045978"/>
    <w:rsid w:val="76206C56"/>
    <w:rsid w:val="762322A2"/>
    <w:rsid w:val="76326989"/>
    <w:rsid w:val="765B5EE0"/>
    <w:rsid w:val="766823AB"/>
    <w:rsid w:val="767B0330"/>
    <w:rsid w:val="768947FB"/>
    <w:rsid w:val="76D4359C"/>
    <w:rsid w:val="76D57A40"/>
    <w:rsid w:val="76FB4FCD"/>
    <w:rsid w:val="77021FAC"/>
    <w:rsid w:val="77524DFC"/>
    <w:rsid w:val="778E4093"/>
    <w:rsid w:val="77901BB9"/>
    <w:rsid w:val="78CF226D"/>
    <w:rsid w:val="796432FD"/>
    <w:rsid w:val="79984D55"/>
    <w:rsid w:val="79D57D57"/>
    <w:rsid w:val="7A5073DE"/>
    <w:rsid w:val="7B2A40D3"/>
    <w:rsid w:val="7B5D1DB2"/>
    <w:rsid w:val="7B62386D"/>
    <w:rsid w:val="7B6E5D6D"/>
    <w:rsid w:val="7BBA0FB3"/>
    <w:rsid w:val="7BBF2A6D"/>
    <w:rsid w:val="7BD007D6"/>
    <w:rsid w:val="7BFE17E7"/>
    <w:rsid w:val="7C765821"/>
    <w:rsid w:val="7C8810B1"/>
    <w:rsid w:val="7C8B0BA1"/>
    <w:rsid w:val="7C8F243F"/>
    <w:rsid w:val="7CB24380"/>
    <w:rsid w:val="7CB2612E"/>
    <w:rsid w:val="7D2012E9"/>
    <w:rsid w:val="7D9D0B8C"/>
    <w:rsid w:val="7DA95783"/>
    <w:rsid w:val="7DBC5832"/>
    <w:rsid w:val="7DD87E16"/>
    <w:rsid w:val="7DDA3B8E"/>
    <w:rsid w:val="7DFB58B2"/>
    <w:rsid w:val="7E0B01EB"/>
    <w:rsid w:val="7E5576B9"/>
    <w:rsid w:val="7E633B84"/>
    <w:rsid w:val="7E7F4735"/>
    <w:rsid w:val="7E905F3D"/>
    <w:rsid w:val="7ED625A7"/>
    <w:rsid w:val="7EE051D4"/>
    <w:rsid w:val="7EF70770"/>
    <w:rsid w:val="7F2A704F"/>
    <w:rsid w:val="7F9B559F"/>
    <w:rsid w:val="7FCB5E84"/>
    <w:rsid w:val="7FCB7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b/>
      <w:bCs/>
      <w:kern w:val="44"/>
      <w:sz w:val="44"/>
      <w:szCs w:val="44"/>
    </w:rPr>
  </w:style>
  <w:style w:type="character" w:customStyle="1" w:styleId="35">
    <w:name w:val="标题 2 字符"/>
    <w:link w:val="3"/>
    <w:autoRedefine/>
    <w:qFormat/>
    <w:uiPriority w:val="0"/>
    <w:rPr>
      <w:rFonts w:ascii="Arial" w:hAnsi="Arial" w:eastAsia="黑体"/>
      <w:b/>
      <w:bCs/>
      <w:kern w:val="2"/>
      <w:sz w:val="32"/>
      <w:szCs w:val="32"/>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autoRedefine/>
    <w:qFormat/>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autoRedefine/>
    <w:qFormat/>
    <w:uiPriority w:val="0"/>
    <w:rPr>
      <w:b/>
      <w:bCs/>
      <w:kern w:val="2"/>
      <w:sz w:val="24"/>
      <w:szCs w:val="24"/>
    </w:rPr>
  </w:style>
  <w:style w:type="character" w:customStyle="1" w:styleId="41">
    <w:name w:val="标题 8 字符"/>
    <w:link w:val="9"/>
    <w:autoRedefine/>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 w:type="paragraph" w:customStyle="1" w:styleId="230">
    <w:name w:val="正文1"/>
    <w:qFormat/>
    <w:uiPriority w:val="0"/>
    <w:pPr>
      <w:jc w:val="both"/>
    </w:pPr>
    <w:rPr>
      <w:rFonts w:ascii="Calibri" w:hAnsi="Calibri" w:eastAsia="宋体" w:cs="宋体"/>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C7A3C8934FF4614B8FDE9C0B0D4B899"/>
        <w:style w:val=""/>
        <w:category>
          <w:name w:val="常规"/>
          <w:gallery w:val="placeholder"/>
        </w:category>
        <w:types>
          <w:type w:val="bbPlcHdr"/>
        </w:types>
        <w:behaviors>
          <w:behavior w:val="content"/>
        </w:behaviors>
        <w:description w:val=""/>
        <w:guid w:val="{E19FF17D-3FAA-4800-8C9E-7DD1D1E4A7E9}"/>
      </w:docPartPr>
      <w:docPartBody>
        <w:p w14:paraId="5DC1642B">
          <w:pPr>
            <w:pStyle w:val="5"/>
          </w:pPr>
          <w:r>
            <w:rPr>
              <w:rStyle w:val="4"/>
              <w:rFonts w:hint="eastAsia"/>
            </w:rPr>
            <w:t>单击或点击此处输入文字。</w:t>
          </w:r>
        </w:p>
      </w:docPartBody>
    </w:docPart>
    <w:docPart>
      <w:docPartPr>
        <w:name w:val="7F48E6C3783E4E82AD98FDCE7C5A1BC7"/>
        <w:style w:val=""/>
        <w:category>
          <w:name w:val="常规"/>
          <w:gallery w:val="placeholder"/>
        </w:category>
        <w:types>
          <w:type w:val="bbPlcHdr"/>
        </w:types>
        <w:behaviors>
          <w:behavior w:val="content"/>
        </w:behaviors>
        <w:description w:val=""/>
        <w:guid w:val="{51F17202-35FA-4084-AD3C-67EFF5DB7A3D}"/>
      </w:docPartPr>
      <w:docPartBody>
        <w:p w14:paraId="0BE6F303">
          <w:pPr>
            <w:pStyle w:val="6"/>
          </w:pPr>
          <w:r>
            <w:rPr>
              <w:rStyle w:val="4"/>
              <w:rFonts w:hint="eastAsia"/>
            </w:rPr>
            <w:t>选择一项。</w:t>
          </w:r>
        </w:p>
      </w:docPartBody>
    </w:docPart>
    <w:docPart>
      <w:docPartPr>
        <w:name w:val="55F15F151005453EB6B19FEBD0B08BE2"/>
        <w:style w:val=""/>
        <w:category>
          <w:name w:val="常规"/>
          <w:gallery w:val="placeholder"/>
        </w:category>
        <w:types>
          <w:type w:val="bbPlcHdr"/>
        </w:types>
        <w:behaviors>
          <w:behavior w:val="content"/>
        </w:behaviors>
        <w:description w:val=""/>
        <w:guid w:val="{880393B6-D59F-4493-833F-5D16A7544610}"/>
      </w:docPartPr>
      <w:docPartBody>
        <w:p w14:paraId="78977291">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06F"/>
    <w:rsid w:val="00106FDE"/>
    <w:rsid w:val="0011317D"/>
    <w:rsid w:val="0013276B"/>
    <w:rsid w:val="001651CE"/>
    <w:rsid w:val="001772F1"/>
    <w:rsid w:val="00196C21"/>
    <w:rsid w:val="003149EC"/>
    <w:rsid w:val="00491F25"/>
    <w:rsid w:val="0052734C"/>
    <w:rsid w:val="005B2662"/>
    <w:rsid w:val="006446FD"/>
    <w:rsid w:val="007243D8"/>
    <w:rsid w:val="00747CF8"/>
    <w:rsid w:val="007A20DE"/>
    <w:rsid w:val="008150C3"/>
    <w:rsid w:val="0083523A"/>
    <w:rsid w:val="00855F35"/>
    <w:rsid w:val="00874392"/>
    <w:rsid w:val="00900F31"/>
    <w:rsid w:val="00A12339"/>
    <w:rsid w:val="00AB7E3E"/>
    <w:rsid w:val="00BA6BF8"/>
    <w:rsid w:val="00BC706F"/>
    <w:rsid w:val="00BE734D"/>
    <w:rsid w:val="00BF7D60"/>
    <w:rsid w:val="00C54CAE"/>
    <w:rsid w:val="00CC44F5"/>
    <w:rsid w:val="00CD493D"/>
    <w:rsid w:val="00D35B4B"/>
    <w:rsid w:val="00DA4C3B"/>
    <w:rsid w:val="00E36D9B"/>
    <w:rsid w:val="00EB107F"/>
    <w:rsid w:val="00F72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9C7A3C8934FF4614B8FDE9C0B0D4B899"/>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F48E6C3783E4E82AD98FDCE7C5A1BC7"/>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5F15F151005453EB6B19FEBD0B08BE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6</Pages>
  <Words>2025</Words>
  <Characters>2469</Characters>
  <Lines>25</Lines>
  <Paragraphs>7</Paragraphs>
  <TotalTime>151</TotalTime>
  <ScaleCrop>false</ScaleCrop>
  <LinksUpToDate>false</LinksUpToDate>
  <CharactersWithSpaces>2632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2023-03-23T11:06:00Z</dcterms:created>
  <dc:creator>xb21cn</dc:creator>
  <dc:description>&lt;config cover="true" show_menu="true" version="1.0.0" doctype="SDKXY"&gt;_x000d_
&lt;/config&gt;</dc:description>
  <cp:lastModifiedBy>jiangshui</cp:lastModifiedBy>
  <cp:lastPrinted>2021-02-02T08:22:00Z</cp:lastPrinted>
  <dcterms:modified xsi:type="dcterms:W3CDTF">2024-11-22T08:51:45Z</dcterms:modified>
  <dc:title>团体标准</dc:title>
  <cp:revision>365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2052-12.1.0.18912</vt:lpwstr>
  </property>
  <property fmtid="{D5CDD505-2E9C-101B-9397-08002B2CF9AE}" pid="15" name="ICV">
    <vt:lpwstr>855151851F48480E93E131BD2D7C2CCB_13</vt:lpwstr>
  </property>
</Properties>
</file>